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u w:val="none" w:color="auto"/>
          <w:lang w:val="en-US" w:eastAsia="zh-CN"/>
        </w:rPr>
      </w:pPr>
      <w:r>
        <w:rPr>
          <w:rFonts w:hint="eastAsia" w:ascii="方正小标宋简体" w:hAnsi="方正小标宋简体" w:eastAsia="方正小标宋简体" w:cs="方正小标宋简体"/>
          <w:sz w:val="44"/>
          <w:szCs w:val="44"/>
          <w:u w:val="none" w:color="auto"/>
          <w:lang w:val="en-US" w:eastAsia="zh-CN"/>
        </w:rPr>
        <w:t>2024年市本级部门预算编报说明</w:t>
      </w:r>
    </w:p>
    <w:p>
      <w:pPr>
        <w:keepNext w:val="0"/>
        <w:keepLines w:val="0"/>
        <w:pageBreakBefore w:val="0"/>
        <w:widowControl w:val="0"/>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default" w:ascii="Times New Roman" w:hAnsi="Times New Roman" w:eastAsia="黑体" w:cs="Times New Roman"/>
          <w:color w:val="000000" w:themeColor="text1"/>
          <w:sz w:val="32"/>
          <w:szCs w:val="32"/>
          <w14:textFill>
            <w14:solidFill>
              <w14:schemeClr w14:val="tx1"/>
            </w14:solidFill>
          </w14:textFill>
        </w:rPr>
      </w:pPr>
    </w:p>
    <w:p>
      <w:pPr>
        <w:keepNext w:val="0"/>
        <w:keepLines w:val="0"/>
        <w:pageBreakBefore w:val="0"/>
        <w:widowControl w:val="0"/>
        <w:kinsoku/>
        <w:wordWrap/>
        <w:overflowPunct w:val="0"/>
        <w:topLinePunct w:val="0"/>
        <w:autoSpaceDE/>
        <w:autoSpaceDN/>
        <w:bidi w:val="0"/>
        <w:adjustRightInd/>
        <w:snapToGrid/>
        <w:spacing w:line="600" w:lineRule="exact"/>
        <w:ind w:left="0" w:leftChars="0" w:firstLine="640" w:firstLineChars="200"/>
        <w:jc w:val="both"/>
        <w:textAlignment w:val="auto"/>
        <w:outlineLvl w:val="9"/>
        <w:rPr>
          <w:rFonts w:hint="eastAsia" w:ascii="Times New Roman" w:hAnsi="Times New Roman" w:eastAsia="黑体" w:cs="Times New Roman"/>
          <w:color w:val="000000" w:themeColor="text1"/>
          <w:sz w:val="32"/>
          <w:szCs w:val="32"/>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一、</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编制原则</w:t>
      </w:r>
    </w:p>
    <w:p>
      <w:pPr>
        <w:keepNext w:val="0"/>
        <w:keepLines w:val="0"/>
        <w:pageBreakBefore w:val="0"/>
        <w:widowControl w:val="0"/>
        <w:kinsoku/>
        <w:wordWrap/>
        <w:overflowPunct w:val="0"/>
        <w:topLinePunct w:val="0"/>
        <w:autoSpaceDE/>
        <w:autoSpaceDN/>
        <w:bidi w:val="0"/>
        <w:adjustRightInd/>
        <w:snapToGrid/>
        <w:spacing w:line="600" w:lineRule="exact"/>
        <w:ind w:left="0" w:leftChars="0" w:firstLine="643" w:firstLineChars="200"/>
        <w:jc w:val="both"/>
        <w:textAlignment w:val="auto"/>
        <w:outlineLvl w:val="9"/>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楷体" w:cs="Times New Roman"/>
          <w:b/>
          <w:bCs/>
          <w:color w:val="000000"/>
          <w:kern w:val="0"/>
          <w:sz w:val="32"/>
          <w:szCs w:val="32"/>
          <w:lang w:val="en-US" w:eastAsia="zh-CN" w:bidi="ar"/>
        </w:rPr>
        <w:t>（一）厉行节约，</w:t>
      </w:r>
      <w:r>
        <w:rPr>
          <w:rFonts w:hint="eastAsia" w:ascii="Times New Roman" w:hAnsi="Times New Roman" w:eastAsia="楷体" w:cs="Times New Roman"/>
          <w:b/>
          <w:bCs/>
          <w:color w:val="000000"/>
          <w:kern w:val="0"/>
          <w:sz w:val="32"/>
          <w:szCs w:val="32"/>
          <w:lang w:val="en-US" w:eastAsia="zh-CN" w:bidi="ar"/>
        </w:rPr>
        <w:t>保障</w:t>
      </w:r>
      <w:r>
        <w:rPr>
          <w:rFonts w:hint="default" w:ascii="Times New Roman" w:hAnsi="Times New Roman" w:eastAsia="楷体" w:cs="Times New Roman"/>
          <w:b/>
          <w:bCs/>
          <w:color w:val="000000"/>
          <w:kern w:val="0"/>
          <w:sz w:val="32"/>
          <w:szCs w:val="32"/>
          <w:lang w:val="en-US" w:eastAsia="zh-CN" w:bidi="ar"/>
        </w:rPr>
        <w:t>重点。</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坚持量入为出原则，深化零基预算改革，健全完善能增能减、有保有压的预算分配机制，合理安排支出预算规模。坚持“三保”支出在财政支出中的优先顺序, 坚决兜住“三保</w:t>
      </w:r>
      <w:bookmarkStart w:id="0" w:name="_GoBack"/>
      <w:bookmarkEnd w:id="0"/>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”底线。落实党政机关过“紧日子”要求，厉行勤俭节约，严控一般性支出，努力降低行政运行成本。突出重点，优先保障重大战略、重大部署、重大政策和重大项目实施。</w:t>
      </w:r>
    </w:p>
    <w:p>
      <w:pPr>
        <w:keepNext w:val="0"/>
        <w:keepLines w:val="0"/>
        <w:pageBreakBefore w:val="0"/>
        <w:widowControl w:val="0"/>
        <w:suppressLineNumbers w:val="0"/>
        <w:kinsoku/>
        <w:wordWrap/>
        <w:overflowPunct w:val="0"/>
        <w:topLinePunct w:val="0"/>
        <w:autoSpaceDE/>
        <w:autoSpaceDN/>
        <w:bidi w:val="0"/>
        <w:adjustRightInd/>
        <w:snapToGrid/>
        <w:spacing w:line="600" w:lineRule="exact"/>
        <w:ind w:left="0" w:leftChars="0" w:firstLine="643" w:firstLineChars="200"/>
        <w:jc w:val="both"/>
        <w:textAlignment w:val="auto"/>
        <w:outlineLvl w:val="9"/>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楷体" w:cs="Times New Roman"/>
          <w:b/>
          <w:bCs/>
          <w:color w:val="000000"/>
          <w:kern w:val="0"/>
          <w:sz w:val="32"/>
          <w:szCs w:val="32"/>
          <w:lang w:val="en-US" w:eastAsia="zh-CN" w:bidi="ar"/>
        </w:rPr>
        <w:t>（二）强化管理，硬化约束。</w:t>
      </w:r>
      <w:r>
        <w:rPr>
          <w:rFonts w:hint="default" w:ascii="Times New Roman" w:hAnsi="Times New Roman" w:eastAsia="仿宋_GB2312" w:cs="Times New Roman"/>
          <w:color w:val="000000"/>
          <w:kern w:val="0"/>
          <w:sz w:val="32"/>
          <w:szCs w:val="32"/>
          <w:lang w:val="en-US" w:eastAsia="zh-CN" w:bidi="ar"/>
        </w:rPr>
        <w:t>坚持预算法定，严格按照预算法等有关规定编制预算，着力提升制度执行力，维护法律的权威性和制度的刚性约束力。严格执行预算管理一体化业务规范，夯实预算基础管理，以信息化推进预算管理现代化，加强预算管理各项制度的系统集成、协同高效，提高预算管理规范化、科学化、标准化水平和预算透明度。</w:t>
      </w:r>
    </w:p>
    <w:p>
      <w:pPr>
        <w:keepNext w:val="0"/>
        <w:keepLines w:val="0"/>
        <w:pageBreakBefore w:val="0"/>
        <w:widowControl w:val="0"/>
        <w:suppressLineNumbers w:val="0"/>
        <w:kinsoku/>
        <w:wordWrap/>
        <w:overflowPunct w:val="0"/>
        <w:topLinePunct w:val="0"/>
        <w:autoSpaceDE/>
        <w:autoSpaceDN/>
        <w:bidi w:val="0"/>
        <w:adjustRightInd/>
        <w:snapToGrid/>
        <w:spacing w:line="600" w:lineRule="exact"/>
        <w:ind w:left="0" w:leftChars="0" w:firstLine="643" w:firstLineChars="200"/>
        <w:jc w:val="both"/>
        <w:textAlignment w:val="auto"/>
        <w:outlineLvl w:val="9"/>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楷体" w:cs="Times New Roman"/>
          <w:b/>
          <w:bCs/>
          <w:color w:val="000000"/>
          <w:kern w:val="0"/>
          <w:sz w:val="32"/>
          <w:szCs w:val="32"/>
          <w:lang w:val="en-US" w:eastAsia="zh-CN" w:bidi="ar"/>
        </w:rPr>
        <w:t>（三）</w:t>
      </w:r>
      <w:r>
        <w:rPr>
          <w:rFonts w:hint="eastAsia" w:ascii="Times New Roman" w:hAnsi="Times New Roman" w:eastAsia="楷体" w:cs="Times New Roman"/>
          <w:b/>
          <w:bCs/>
          <w:color w:val="000000"/>
          <w:kern w:val="0"/>
          <w:sz w:val="32"/>
          <w:szCs w:val="32"/>
          <w:lang w:val="en-US" w:eastAsia="zh-CN" w:bidi="ar"/>
        </w:rPr>
        <w:t>突出</w:t>
      </w:r>
      <w:r>
        <w:rPr>
          <w:rFonts w:hint="default" w:ascii="Times New Roman" w:hAnsi="Times New Roman" w:eastAsia="楷体" w:cs="Times New Roman"/>
          <w:b/>
          <w:bCs/>
          <w:color w:val="000000"/>
          <w:kern w:val="0"/>
          <w:sz w:val="32"/>
          <w:szCs w:val="32"/>
          <w:lang w:val="en-US" w:eastAsia="zh-CN" w:bidi="ar"/>
        </w:rPr>
        <w:t>绩效，提高效益。</w:t>
      </w:r>
      <w:r>
        <w:rPr>
          <w:rFonts w:hint="default" w:ascii="Times New Roman" w:hAnsi="Times New Roman" w:eastAsia="仿宋_GB2312" w:cs="Times New Roman"/>
          <w:color w:val="000000"/>
          <w:kern w:val="0"/>
          <w:sz w:val="32"/>
          <w:szCs w:val="32"/>
          <w:lang w:val="en-US" w:eastAsia="zh-CN" w:bidi="ar"/>
        </w:rPr>
        <w:t>全面实施预算绩效管理，推进预算和绩效管理深度融合，实行预算编制、执行和监督全过程绩效管理，强化事前绩效评估，增强项目立项和预算安排的科学性。加强绩效监控和评价结果运用，大力削减或取消低效无效支出，着力提高财政资源配置效率和使用效益。</w:t>
      </w:r>
    </w:p>
    <w:p>
      <w:pPr>
        <w:keepNext w:val="0"/>
        <w:keepLines w:val="0"/>
        <w:pageBreakBefore w:val="0"/>
        <w:widowControl w:val="0"/>
        <w:suppressLineNumbers w:val="0"/>
        <w:kinsoku/>
        <w:wordWrap/>
        <w:overflowPunct w:val="0"/>
        <w:topLinePunct w:val="0"/>
        <w:autoSpaceDE/>
        <w:autoSpaceDN/>
        <w:bidi w:val="0"/>
        <w:adjustRightInd/>
        <w:snapToGrid/>
        <w:spacing w:line="600" w:lineRule="exact"/>
        <w:ind w:left="0" w:leftChars="0" w:firstLine="643" w:firstLineChars="200"/>
        <w:jc w:val="both"/>
        <w:textAlignment w:val="auto"/>
        <w:outlineLvl w:val="9"/>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楷体" w:cs="Times New Roman"/>
          <w:b/>
          <w:bCs/>
          <w:color w:val="000000"/>
          <w:kern w:val="0"/>
          <w:sz w:val="32"/>
          <w:szCs w:val="32"/>
          <w:lang w:val="en-US" w:eastAsia="zh-CN" w:bidi="ar"/>
        </w:rPr>
        <w:t>（四）坚持底线，防范风险。</w:t>
      </w:r>
      <w:r>
        <w:rPr>
          <w:rFonts w:hint="default" w:ascii="Times New Roman" w:hAnsi="Times New Roman" w:eastAsia="仿宋_GB2312" w:cs="Times New Roman"/>
          <w:color w:val="000000"/>
          <w:kern w:val="0"/>
          <w:sz w:val="32"/>
          <w:szCs w:val="32"/>
          <w:lang w:val="en-US" w:eastAsia="zh-CN" w:bidi="ar"/>
        </w:rPr>
        <w:t>把防范风险摆在更加突出位置，统筹发展和安全、当前和长远，杜绝脱离实际的过高承诺，形成稳定合理的社会预期。提高财政可持续能力，坚决防范政府债务、企业、金融等领域风险，加强政府债务和中长期支出事项管理，牢牢守住不发生系统性风险的底线，维护社会长治久安。</w:t>
      </w:r>
    </w:p>
    <w:p>
      <w:pPr>
        <w:numPr>
          <w:ilvl w:val="0"/>
          <w:numId w:val="0"/>
        </w:numPr>
        <w:spacing w:line="600" w:lineRule="exact"/>
        <w:ind w:firstLine="640" w:firstLineChars="200"/>
        <w:rPr>
          <w:rFonts w:hint="eastAsia" w:ascii="Times New Roman" w:hAnsi="Times New Roman" w:eastAsia="仿宋_GB2312" w:cs="仿宋_GB2312"/>
          <w:sz w:val="32"/>
          <w:szCs w:val="32"/>
          <w:u w:val="none" w:color="auto"/>
          <w:lang w:eastAsia="zh-CN"/>
        </w:rPr>
      </w:pPr>
      <w:r>
        <w:rPr>
          <w:rFonts w:hint="eastAsia" w:ascii="Times New Roman" w:hAnsi="Times New Roman" w:eastAsia="黑体" w:cs="Times New Roman"/>
          <w:color w:val="000000" w:themeColor="text1"/>
          <w:sz w:val="32"/>
          <w:szCs w:val="32"/>
          <w:lang w:val="en-US" w:eastAsia="zh-CN"/>
          <w14:textFill>
            <w14:solidFill>
              <w14:schemeClr w14:val="tx1"/>
            </w14:solidFill>
          </w14:textFill>
        </w:rPr>
        <w:t>二、</w:t>
      </w:r>
      <w:r>
        <w:rPr>
          <w:rFonts w:hint="eastAsia" w:ascii="Times New Roman" w:hAnsi="Times New Roman" w:eastAsia="黑体" w:cs="黑体"/>
          <w:sz w:val="32"/>
          <w:szCs w:val="32"/>
          <w:u w:val="none" w:color="auto"/>
          <w:lang w:eastAsia="zh-CN"/>
        </w:rPr>
        <w:t>编制内容</w:t>
      </w:r>
    </w:p>
    <w:p>
      <w:pPr>
        <w:overflowPunct w:val="0"/>
        <w:spacing w:line="580" w:lineRule="exact"/>
        <w:ind w:firstLine="643" w:firstLineChars="200"/>
        <w:rPr>
          <w:rFonts w:hint="eastAsia" w:ascii="Times New Roman" w:hAnsi="Times New Roman" w:eastAsia="楷体_GB2312" w:cs="仿宋_GB2312"/>
          <w:b/>
          <w:kern w:val="0"/>
          <w:sz w:val="32"/>
          <w:szCs w:val="32"/>
          <w:u w:val="none" w:color="auto"/>
        </w:rPr>
      </w:pPr>
      <w:r>
        <w:rPr>
          <w:rFonts w:hint="eastAsia" w:ascii="Times New Roman" w:hAnsi="Times New Roman" w:eastAsia="楷体_GB2312" w:cs="仿宋_GB2312"/>
          <w:b/>
          <w:kern w:val="0"/>
          <w:sz w:val="32"/>
          <w:szCs w:val="32"/>
          <w:u w:val="none" w:color="auto"/>
        </w:rPr>
        <w:t>（一）基础数据</w:t>
      </w:r>
    </w:p>
    <w:p>
      <w:pPr>
        <w:spacing w:line="600" w:lineRule="exact"/>
        <w:ind w:firstLine="645"/>
        <w:rPr>
          <w:rFonts w:hint="eastAsia" w:ascii="Times New Roman" w:hAnsi="Times New Roman" w:eastAsia="仿宋_GB2312" w:cs="仿宋_GB2312"/>
          <w:sz w:val="32"/>
          <w:szCs w:val="32"/>
          <w:u w:val="none" w:color="auto"/>
          <w:lang w:eastAsia="zh-CN"/>
        </w:rPr>
      </w:pPr>
      <w:r>
        <w:rPr>
          <w:rFonts w:hint="eastAsia" w:ascii="Times New Roman" w:hAnsi="Times New Roman" w:eastAsia="仿宋_GB2312" w:cs="仿宋_GB2312"/>
          <w:sz w:val="32"/>
          <w:szCs w:val="32"/>
          <w:u w:val="none" w:color="auto"/>
          <w:lang w:eastAsia="zh-CN"/>
        </w:rPr>
        <w:t>包括单位基本信息和人员信息。按照单位实际基本信息填报，涉及参照公务员管理单位的性质认定以</w:t>
      </w:r>
      <w:r>
        <w:rPr>
          <w:rFonts w:hint="eastAsia" w:ascii="Times New Roman" w:hAnsi="Times New Roman" w:eastAsia="仿宋_GB2312"/>
          <w:sz w:val="32"/>
          <w:szCs w:val="32"/>
          <w:u w:val="none" w:color="auto"/>
        </w:rPr>
        <w:t>《中共湖南省委组织部关于重新认定邵阳市总工会等289个单位继续实行参照管理的批复》（湘组</w:t>
      </w:r>
      <w:r>
        <w:rPr>
          <w:rFonts w:hint="eastAsia" w:ascii="Times New Roman" w:hAnsi="Times New Roman" w:eastAsia="仿宋_GB2312" w:cs="Times New Roman"/>
          <w:sz w:val="32"/>
          <w:szCs w:val="32"/>
          <w:u w:val="none" w:color="auto"/>
        </w:rPr>
        <w:t>〔202</w:t>
      </w:r>
      <w:r>
        <w:rPr>
          <w:rFonts w:hint="eastAsia" w:ascii="Times New Roman" w:hAnsi="Times New Roman" w:eastAsia="仿宋_GB2312"/>
          <w:sz w:val="32"/>
          <w:szCs w:val="32"/>
          <w:u w:val="none" w:color="auto"/>
        </w:rPr>
        <w:t>2</w:t>
      </w:r>
      <w:r>
        <w:rPr>
          <w:rFonts w:hint="eastAsia" w:ascii="Times New Roman" w:hAnsi="Times New Roman" w:eastAsia="仿宋_GB2312" w:cs="Times New Roman"/>
          <w:sz w:val="32"/>
          <w:szCs w:val="32"/>
          <w:u w:val="none" w:color="auto"/>
        </w:rPr>
        <w:t>〕</w:t>
      </w:r>
      <w:r>
        <w:rPr>
          <w:rFonts w:hint="eastAsia" w:ascii="Times New Roman" w:hAnsi="Times New Roman" w:eastAsia="仿宋_GB2312"/>
          <w:sz w:val="32"/>
          <w:szCs w:val="32"/>
          <w:u w:val="none" w:color="auto"/>
        </w:rPr>
        <w:t>48号）</w:t>
      </w:r>
      <w:r>
        <w:rPr>
          <w:rFonts w:hint="eastAsia" w:ascii="Times New Roman" w:hAnsi="Times New Roman" w:eastAsia="仿宋_GB2312"/>
          <w:sz w:val="32"/>
          <w:szCs w:val="32"/>
          <w:u w:val="none" w:color="auto"/>
          <w:lang w:eastAsia="zh-CN"/>
        </w:rPr>
        <w:t>、</w:t>
      </w:r>
      <w:r>
        <w:rPr>
          <w:rFonts w:hint="eastAsia" w:ascii="Times New Roman" w:hAnsi="Times New Roman" w:eastAsia="仿宋_GB2312"/>
          <w:sz w:val="32"/>
          <w:szCs w:val="32"/>
          <w:u w:val="none" w:color="auto"/>
        </w:rPr>
        <w:t>《中共湖南省委组织部关于重新认定邵阳市</w:t>
      </w:r>
      <w:r>
        <w:rPr>
          <w:rFonts w:hint="eastAsia" w:ascii="Times New Roman" w:hAnsi="Times New Roman" w:eastAsia="仿宋_GB2312"/>
          <w:sz w:val="32"/>
          <w:szCs w:val="32"/>
          <w:u w:val="none" w:color="auto"/>
          <w:lang w:eastAsia="zh-CN"/>
        </w:rPr>
        <w:t>社会养老保险服务中心</w:t>
      </w:r>
      <w:r>
        <w:rPr>
          <w:rFonts w:hint="eastAsia" w:ascii="Times New Roman" w:hAnsi="Times New Roman" w:eastAsia="仿宋_GB2312"/>
          <w:sz w:val="32"/>
          <w:szCs w:val="32"/>
          <w:u w:val="none" w:color="auto"/>
        </w:rPr>
        <w:t>等89个单位继续实行参照管理的批复》（湘组</w:t>
      </w:r>
      <w:r>
        <w:rPr>
          <w:rFonts w:hint="eastAsia" w:ascii="Times New Roman" w:hAnsi="Times New Roman" w:eastAsia="仿宋_GB2312" w:cs="Times New Roman"/>
          <w:sz w:val="32"/>
          <w:szCs w:val="32"/>
          <w:u w:val="none" w:color="auto"/>
        </w:rPr>
        <w:t>〔202</w:t>
      </w:r>
      <w:r>
        <w:rPr>
          <w:rFonts w:hint="eastAsia" w:ascii="Times New Roman" w:hAnsi="Times New Roman" w:eastAsia="仿宋_GB2312"/>
          <w:sz w:val="32"/>
          <w:szCs w:val="32"/>
          <w:u w:val="none" w:color="auto"/>
          <w:lang w:val="en-US" w:eastAsia="zh-CN"/>
        </w:rPr>
        <w:t>3</w:t>
      </w:r>
      <w:r>
        <w:rPr>
          <w:rFonts w:hint="eastAsia" w:ascii="Times New Roman" w:hAnsi="Times New Roman" w:eastAsia="仿宋_GB2312" w:cs="Times New Roman"/>
          <w:sz w:val="32"/>
          <w:szCs w:val="32"/>
          <w:u w:val="none" w:color="auto"/>
        </w:rPr>
        <w:t>〕</w:t>
      </w:r>
      <w:r>
        <w:rPr>
          <w:rFonts w:hint="eastAsia" w:ascii="Times New Roman" w:hAnsi="Times New Roman" w:eastAsia="仿宋_GB2312"/>
          <w:sz w:val="32"/>
          <w:szCs w:val="32"/>
          <w:u w:val="none" w:color="auto"/>
          <w:lang w:val="en-US" w:eastAsia="zh-CN"/>
        </w:rPr>
        <w:t>19</w:t>
      </w:r>
      <w:r>
        <w:rPr>
          <w:rFonts w:hint="eastAsia" w:ascii="Times New Roman" w:hAnsi="Times New Roman" w:eastAsia="仿宋_GB2312"/>
          <w:sz w:val="32"/>
          <w:szCs w:val="32"/>
          <w:u w:val="none" w:color="auto"/>
        </w:rPr>
        <w:t>号）文件</w:t>
      </w:r>
      <w:r>
        <w:rPr>
          <w:rFonts w:hint="eastAsia" w:ascii="Times New Roman" w:hAnsi="Times New Roman" w:eastAsia="仿宋_GB2312"/>
          <w:sz w:val="32"/>
          <w:szCs w:val="32"/>
          <w:u w:val="none" w:color="auto"/>
          <w:lang w:eastAsia="zh-CN"/>
        </w:rPr>
        <w:t>为准。</w:t>
      </w:r>
      <w:r>
        <w:rPr>
          <w:rFonts w:hint="eastAsia" w:ascii="Times New Roman" w:hAnsi="Times New Roman" w:eastAsia="仿宋_GB2312" w:cs="仿宋_GB2312"/>
          <w:sz w:val="32"/>
          <w:szCs w:val="32"/>
          <w:u w:val="none" w:color="auto"/>
          <w:lang w:eastAsia="zh-CN"/>
        </w:rPr>
        <w:t>人员按单位编制数和实际情况如实填报。</w:t>
      </w:r>
    </w:p>
    <w:p>
      <w:pPr>
        <w:overflowPunct w:val="0"/>
        <w:spacing w:line="580" w:lineRule="exact"/>
        <w:ind w:firstLine="643" w:firstLineChars="200"/>
        <w:rPr>
          <w:rFonts w:hint="eastAsia" w:ascii="Times New Roman" w:hAnsi="Times New Roman" w:eastAsia="楷体_GB2312" w:cs="仿宋_GB2312"/>
          <w:b/>
          <w:kern w:val="0"/>
          <w:sz w:val="32"/>
          <w:szCs w:val="32"/>
          <w:u w:val="none" w:color="auto"/>
        </w:rPr>
      </w:pPr>
      <w:r>
        <w:rPr>
          <w:rFonts w:hint="eastAsia" w:ascii="Times New Roman" w:hAnsi="Times New Roman" w:eastAsia="楷体_GB2312" w:cs="仿宋_GB2312"/>
          <w:b/>
          <w:kern w:val="0"/>
          <w:sz w:val="32"/>
          <w:szCs w:val="32"/>
          <w:u w:val="none" w:color="auto"/>
        </w:rPr>
        <w:t>（二）收入预算</w:t>
      </w:r>
    </w:p>
    <w:p>
      <w:pPr>
        <w:topLinePunct/>
        <w:ind w:firstLine="643" w:firstLineChars="200"/>
        <w:rPr>
          <w:rFonts w:hint="eastAsia" w:ascii="Times New Roman" w:hAnsi="Times New Roman" w:eastAsia="仿宋_GB2312"/>
          <w:bCs/>
          <w:kern w:val="0"/>
          <w:sz w:val="32"/>
          <w:szCs w:val="32"/>
          <w:u w:val="none" w:color="auto"/>
        </w:rPr>
      </w:pPr>
      <w:r>
        <w:rPr>
          <w:rFonts w:hint="eastAsia" w:ascii="Times New Roman" w:hAnsi="Times New Roman" w:eastAsia="仿宋_GB2312" w:cs="仿宋_GB2312"/>
          <w:b/>
          <w:kern w:val="0"/>
          <w:sz w:val="32"/>
          <w:szCs w:val="32"/>
          <w:u w:val="none" w:color="auto"/>
        </w:rPr>
        <w:t>1.</w:t>
      </w:r>
      <w:r>
        <w:rPr>
          <w:rFonts w:hint="eastAsia" w:ascii="Times New Roman" w:hAnsi="Times New Roman" w:eastAsia="仿宋_GB2312" w:cs="仿宋_GB2312"/>
          <w:b/>
          <w:sz w:val="32"/>
          <w:szCs w:val="32"/>
          <w:u w:val="none" w:color="auto"/>
        </w:rPr>
        <w:t xml:space="preserve"> 收入项目。</w:t>
      </w:r>
      <w:r>
        <w:rPr>
          <w:rFonts w:ascii="Times New Roman" w:hAnsi="Times New Roman" w:eastAsia="仿宋_GB2312"/>
          <w:bCs/>
          <w:kern w:val="0"/>
          <w:sz w:val="32"/>
          <w:szCs w:val="32"/>
          <w:u w:val="none" w:color="auto"/>
        </w:rPr>
        <w:t>部门预算收入包括财政拨款收入、财政专户管理收入和单位</w:t>
      </w:r>
      <w:r>
        <w:rPr>
          <w:rFonts w:hint="eastAsia" w:ascii="Times New Roman" w:hAnsi="Times New Roman" w:eastAsia="仿宋_GB2312"/>
          <w:bCs/>
          <w:kern w:val="0"/>
          <w:sz w:val="32"/>
          <w:szCs w:val="32"/>
          <w:u w:val="none" w:color="auto"/>
          <w:lang w:eastAsia="zh-CN"/>
        </w:rPr>
        <w:t>其他</w:t>
      </w:r>
      <w:r>
        <w:rPr>
          <w:rFonts w:ascii="Times New Roman" w:hAnsi="Times New Roman" w:eastAsia="仿宋_GB2312"/>
          <w:bCs/>
          <w:kern w:val="0"/>
          <w:sz w:val="32"/>
          <w:szCs w:val="32"/>
          <w:u w:val="none" w:color="auto"/>
        </w:rPr>
        <w:t>资金收入。</w:t>
      </w:r>
      <w:r>
        <w:rPr>
          <w:rFonts w:hint="eastAsia" w:ascii="Times New Roman" w:hAnsi="Times New Roman" w:eastAsia="仿宋_GB2312"/>
          <w:bCs/>
          <w:kern w:val="0"/>
          <w:sz w:val="32"/>
          <w:szCs w:val="32"/>
          <w:u w:val="none" w:color="auto"/>
        </w:rPr>
        <w:t>具体项目包括：</w:t>
      </w:r>
    </w:p>
    <w:p>
      <w:pPr>
        <w:topLinePunct/>
        <w:rPr>
          <w:rFonts w:hint="eastAsia" w:ascii="Times New Roman" w:hAnsi="Times New Roman" w:eastAsia="仿宋_GB2312"/>
          <w:bCs/>
          <w:kern w:val="0"/>
          <w:sz w:val="32"/>
          <w:szCs w:val="32"/>
          <w:u w:val="none" w:color="auto"/>
        </w:rPr>
      </w:pPr>
      <w:r>
        <w:rPr>
          <w:rFonts w:hint="eastAsia" w:ascii="Times New Roman" w:hAnsi="Times New Roman" w:eastAsia="仿宋_GB2312"/>
          <w:bCs/>
          <w:kern w:val="0"/>
          <w:sz w:val="32"/>
          <w:szCs w:val="32"/>
          <w:u w:val="none" w:color="auto"/>
          <w:lang w:val="en-US" w:eastAsia="zh-CN"/>
        </w:rPr>
        <w:t xml:space="preserve">   （1）一般</w:t>
      </w:r>
      <w:r>
        <w:rPr>
          <w:rFonts w:hint="eastAsia" w:ascii="Times New Roman" w:hAnsi="Times New Roman" w:eastAsia="仿宋_GB2312"/>
          <w:bCs/>
          <w:kern w:val="0"/>
          <w:sz w:val="32"/>
          <w:szCs w:val="32"/>
          <w:u w:val="none" w:color="auto"/>
        </w:rPr>
        <w:t>公共预算拨款；</w:t>
      </w:r>
    </w:p>
    <w:p>
      <w:pPr>
        <w:topLinePunct/>
        <w:rPr>
          <w:rFonts w:hint="eastAsia" w:ascii="Times New Roman" w:hAnsi="Times New Roman" w:eastAsia="仿宋_GB2312"/>
          <w:bCs/>
          <w:kern w:val="0"/>
          <w:sz w:val="32"/>
          <w:szCs w:val="32"/>
          <w:u w:val="none" w:color="auto"/>
        </w:rPr>
      </w:pPr>
      <w:r>
        <w:rPr>
          <w:rFonts w:hint="eastAsia" w:ascii="Times New Roman" w:hAnsi="Times New Roman" w:eastAsia="仿宋_GB2312"/>
          <w:bCs/>
          <w:kern w:val="0"/>
          <w:sz w:val="32"/>
          <w:szCs w:val="32"/>
          <w:u w:val="none" w:color="auto"/>
          <w:lang w:val="en-US" w:eastAsia="zh-CN"/>
        </w:rPr>
        <w:t xml:space="preserve">   </w:t>
      </w:r>
      <w:r>
        <w:rPr>
          <w:rFonts w:hint="eastAsia" w:ascii="Times New Roman" w:hAnsi="Times New Roman" w:eastAsia="仿宋_GB2312" w:cs="Times New Roman"/>
          <w:bCs/>
          <w:kern w:val="0"/>
          <w:sz w:val="32"/>
          <w:szCs w:val="32"/>
          <w:u w:val="none" w:color="auto"/>
          <w:lang w:val="en-US" w:eastAsia="zh-CN"/>
        </w:rPr>
        <w:t>（2）</w:t>
      </w:r>
      <w:r>
        <w:rPr>
          <w:rFonts w:hint="eastAsia" w:ascii="Times New Roman" w:hAnsi="Times New Roman" w:eastAsia="仿宋_GB2312"/>
          <w:bCs/>
          <w:kern w:val="0"/>
          <w:sz w:val="32"/>
          <w:szCs w:val="32"/>
          <w:u w:val="none" w:color="auto"/>
        </w:rPr>
        <w:t>纳入预算管理的非税收入拨款：</w:t>
      </w:r>
      <w:r>
        <w:rPr>
          <w:rFonts w:hint="eastAsia" w:ascii="Times New Roman" w:hAnsi="Times New Roman" w:eastAsia="仿宋_GB2312"/>
          <w:bCs/>
          <w:kern w:val="0"/>
          <w:sz w:val="32"/>
          <w:szCs w:val="32"/>
          <w:u w:val="none" w:color="auto"/>
          <w:lang w:val="en-US" w:eastAsia="zh-CN"/>
        </w:rPr>
        <w:t>专项收入、行政事业性收费、罚没收入、国有资本经营收入、捐赠收入、政府住房基金收入、国有资源（资产）有偿使用收入、其他收入</w:t>
      </w:r>
      <w:r>
        <w:rPr>
          <w:rFonts w:hint="eastAsia" w:ascii="Times New Roman" w:hAnsi="Times New Roman" w:eastAsia="仿宋_GB2312"/>
          <w:bCs/>
          <w:kern w:val="0"/>
          <w:sz w:val="32"/>
          <w:szCs w:val="32"/>
          <w:u w:val="none" w:color="auto"/>
        </w:rPr>
        <w:t>；</w:t>
      </w:r>
    </w:p>
    <w:p>
      <w:pPr>
        <w:topLinePunct/>
        <w:rPr>
          <w:rFonts w:hint="eastAsia" w:ascii="Times New Roman" w:hAnsi="Times New Roman" w:eastAsia="仿宋_GB2312"/>
          <w:bCs/>
          <w:kern w:val="0"/>
          <w:sz w:val="32"/>
          <w:szCs w:val="32"/>
          <w:u w:val="none" w:color="auto"/>
        </w:rPr>
      </w:pPr>
      <w:r>
        <w:rPr>
          <w:rFonts w:hint="eastAsia" w:ascii="Times New Roman" w:hAnsi="Times New Roman" w:eastAsia="仿宋_GB2312"/>
          <w:bCs/>
          <w:kern w:val="0"/>
          <w:sz w:val="32"/>
          <w:szCs w:val="32"/>
          <w:u w:val="none" w:color="auto"/>
          <w:lang w:val="en-US" w:eastAsia="zh-CN"/>
        </w:rPr>
        <w:t xml:space="preserve">   （3）</w:t>
      </w:r>
      <w:r>
        <w:rPr>
          <w:rFonts w:hint="eastAsia" w:ascii="Times New Roman" w:hAnsi="Times New Roman" w:eastAsia="仿宋_GB2312"/>
          <w:bCs/>
          <w:kern w:val="0"/>
          <w:sz w:val="32"/>
          <w:szCs w:val="32"/>
          <w:u w:val="none" w:color="auto"/>
        </w:rPr>
        <w:t>财政专户拨款；</w:t>
      </w:r>
    </w:p>
    <w:p>
      <w:pPr>
        <w:topLinePunct/>
        <w:rPr>
          <w:rFonts w:hint="eastAsia" w:ascii="Times New Roman" w:hAnsi="Times New Roman" w:eastAsia="仿宋_GB2312"/>
          <w:bCs/>
          <w:kern w:val="0"/>
          <w:sz w:val="32"/>
          <w:szCs w:val="32"/>
          <w:u w:val="none" w:color="auto"/>
        </w:rPr>
      </w:pPr>
      <w:r>
        <w:rPr>
          <w:rFonts w:hint="eastAsia" w:ascii="Times New Roman" w:hAnsi="Times New Roman" w:eastAsia="仿宋_GB2312"/>
          <w:bCs/>
          <w:kern w:val="0"/>
          <w:sz w:val="32"/>
          <w:szCs w:val="32"/>
          <w:u w:val="none" w:color="auto"/>
          <w:lang w:val="en-US" w:eastAsia="zh-CN"/>
        </w:rPr>
        <w:t xml:space="preserve">   </w:t>
      </w:r>
      <w:r>
        <w:rPr>
          <w:rFonts w:hint="eastAsia" w:ascii="Times New Roman" w:hAnsi="Times New Roman" w:eastAsia="仿宋_GB2312"/>
          <w:bCs/>
          <w:kern w:val="0"/>
          <w:sz w:val="32"/>
          <w:szCs w:val="32"/>
          <w:u w:val="none" w:color="auto"/>
          <w:lang w:eastAsia="zh-CN"/>
        </w:rPr>
        <w:t>（</w:t>
      </w:r>
      <w:r>
        <w:rPr>
          <w:rFonts w:hint="eastAsia" w:ascii="Times New Roman" w:hAnsi="Times New Roman" w:eastAsia="仿宋_GB2312"/>
          <w:bCs/>
          <w:kern w:val="0"/>
          <w:sz w:val="32"/>
          <w:szCs w:val="32"/>
          <w:u w:val="none" w:color="auto"/>
          <w:lang w:val="en-US" w:eastAsia="zh-CN"/>
        </w:rPr>
        <w:t>4</w:t>
      </w:r>
      <w:r>
        <w:rPr>
          <w:rFonts w:hint="eastAsia" w:ascii="Times New Roman" w:hAnsi="Times New Roman" w:eastAsia="仿宋_GB2312"/>
          <w:bCs/>
          <w:kern w:val="0"/>
          <w:sz w:val="32"/>
          <w:szCs w:val="32"/>
          <w:u w:val="none" w:color="auto"/>
          <w:lang w:eastAsia="zh-CN"/>
        </w:rPr>
        <w:t>）</w:t>
      </w:r>
      <w:r>
        <w:rPr>
          <w:rFonts w:hint="eastAsia" w:ascii="Times New Roman" w:hAnsi="Times New Roman" w:eastAsia="仿宋_GB2312"/>
          <w:bCs/>
          <w:kern w:val="0"/>
          <w:sz w:val="32"/>
          <w:szCs w:val="32"/>
          <w:u w:val="none" w:color="auto"/>
        </w:rPr>
        <w:t>上级补助收入拨款（含上级专项转移支付）。对相对固定的上级补助收入和专项转移支付纳入部门预算；</w:t>
      </w:r>
    </w:p>
    <w:p>
      <w:pPr>
        <w:topLinePunct/>
        <w:rPr>
          <w:rFonts w:hint="eastAsia" w:ascii="Times New Roman" w:hAnsi="Times New Roman" w:eastAsia="仿宋_GB2312"/>
          <w:bCs/>
          <w:kern w:val="0"/>
          <w:sz w:val="32"/>
          <w:szCs w:val="32"/>
          <w:u w:val="none" w:color="auto"/>
        </w:rPr>
      </w:pPr>
      <w:r>
        <w:rPr>
          <w:rFonts w:hint="eastAsia" w:ascii="Times New Roman" w:hAnsi="Times New Roman" w:eastAsia="仿宋_GB2312"/>
          <w:bCs/>
          <w:kern w:val="0"/>
          <w:sz w:val="32"/>
          <w:szCs w:val="32"/>
          <w:u w:val="none" w:color="auto"/>
          <w:lang w:val="en-US" w:eastAsia="zh-CN"/>
        </w:rPr>
        <w:t xml:space="preserve">   （5）</w:t>
      </w:r>
      <w:r>
        <w:rPr>
          <w:rFonts w:hint="eastAsia" w:ascii="Times New Roman" w:hAnsi="Times New Roman" w:eastAsia="仿宋_GB2312"/>
          <w:bCs/>
          <w:kern w:val="0"/>
          <w:sz w:val="32"/>
          <w:szCs w:val="32"/>
          <w:u w:val="none" w:color="auto"/>
        </w:rPr>
        <w:t>未纳入专户管理的单位自有资金：按规定可不缴入财政国库或专户管理的收入。</w:t>
      </w:r>
    </w:p>
    <w:p>
      <w:pPr>
        <w:topLinePunct/>
        <w:rPr>
          <w:rFonts w:hint="eastAsia" w:ascii="Times New Roman" w:hAnsi="Times New Roman" w:eastAsia="仿宋_GB2312"/>
          <w:bCs/>
          <w:kern w:val="0"/>
          <w:sz w:val="32"/>
          <w:szCs w:val="32"/>
          <w:u w:val="none" w:color="auto"/>
          <w:lang w:val="en-US" w:eastAsia="zh-CN"/>
        </w:rPr>
      </w:pPr>
      <w:r>
        <w:rPr>
          <w:rFonts w:hint="eastAsia" w:ascii="Times New Roman" w:hAnsi="Times New Roman" w:eastAsia="仿宋_GB2312"/>
          <w:bCs/>
          <w:kern w:val="0"/>
          <w:sz w:val="32"/>
          <w:szCs w:val="32"/>
          <w:u w:val="none" w:color="auto"/>
          <w:lang w:val="en-US" w:eastAsia="zh-CN"/>
        </w:rPr>
        <w:t xml:space="preserve">   </w:t>
      </w:r>
      <w:r>
        <w:rPr>
          <w:rFonts w:hint="eastAsia" w:ascii="Times New Roman" w:hAnsi="Times New Roman" w:eastAsia="仿宋" w:cs="仿宋"/>
          <w:b/>
          <w:bCs w:val="0"/>
          <w:kern w:val="0"/>
          <w:sz w:val="32"/>
          <w:szCs w:val="32"/>
          <w:u w:val="none" w:color="auto"/>
          <w:lang w:val="en-US" w:eastAsia="zh-CN"/>
        </w:rPr>
        <w:t xml:space="preserve"> 2.非税收入预算核定。</w:t>
      </w:r>
      <w:r>
        <w:rPr>
          <w:rFonts w:hint="eastAsia" w:ascii="Times New Roman" w:hAnsi="Times New Roman" w:eastAsia="仿宋_GB2312"/>
          <w:bCs/>
          <w:kern w:val="0"/>
          <w:sz w:val="32"/>
          <w:szCs w:val="32"/>
          <w:u w:val="none" w:color="auto"/>
          <w:lang w:val="en-US" w:eastAsia="zh-CN"/>
        </w:rPr>
        <w:t>根据执收单位的上报数，比较分析2021-2023年非税收入完成平均数和2023年非税收入实际完成数（未到年底则采用预计完成数），并参考政策性增减因素以及市政府相关发展目标等确定（详见附件</w:t>
      </w:r>
      <w:r>
        <w:rPr>
          <w:rFonts w:hint="default" w:ascii="Times New Roman" w:hAnsi="Times New Roman" w:eastAsia="仿宋_GB2312" w:cs="Times New Roman"/>
          <w:bCs/>
          <w:kern w:val="0"/>
          <w:sz w:val="32"/>
          <w:szCs w:val="32"/>
          <w:u w:val="none" w:color="auto"/>
          <w:lang w:val="en-US" w:eastAsia="zh-CN"/>
        </w:rPr>
        <w:t>2</w:t>
      </w:r>
      <w:r>
        <w:rPr>
          <w:rFonts w:hint="eastAsia" w:ascii="Times New Roman" w:hAnsi="Times New Roman" w:eastAsia="仿宋_GB2312"/>
          <w:bCs/>
          <w:kern w:val="0"/>
          <w:sz w:val="32"/>
          <w:szCs w:val="32"/>
          <w:u w:val="none" w:color="auto"/>
          <w:lang w:val="en-US" w:eastAsia="zh-CN"/>
        </w:rPr>
        <w:t>）。</w:t>
      </w:r>
    </w:p>
    <w:p>
      <w:pPr>
        <w:pStyle w:val="2"/>
        <w:ind w:left="0" w:leftChars="0" w:firstLine="643" w:firstLineChars="200"/>
        <w:rPr>
          <w:rFonts w:hint="eastAsia" w:ascii="Times New Roman" w:hAnsi="Times New Roman" w:eastAsia="仿宋_GB2312"/>
          <w:bCs/>
          <w:kern w:val="0"/>
          <w:sz w:val="32"/>
          <w:szCs w:val="32"/>
          <w:u w:val="none" w:color="auto"/>
          <w:lang w:val="en-US" w:eastAsia="zh-CN"/>
        </w:rPr>
      </w:pPr>
      <w:r>
        <w:rPr>
          <w:rFonts w:hint="eastAsia" w:ascii="Times New Roman" w:hAnsi="Times New Roman" w:eastAsia="仿宋" w:cs="仿宋"/>
          <w:b/>
          <w:bCs w:val="0"/>
          <w:kern w:val="0"/>
          <w:sz w:val="32"/>
          <w:szCs w:val="32"/>
          <w:u w:val="none" w:color="auto"/>
          <w:lang w:val="en-US" w:eastAsia="zh-CN"/>
        </w:rPr>
        <w:t>3. 非税收入执收成本支出预算。</w:t>
      </w:r>
      <w:r>
        <w:rPr>
          <w:rFonts w:hint="eastAsia" w:ascii="Times New Roman" w:hAnsi="Times New Roman" w:eastAsia="仿宋_GB2312"/>
          <w:bCs/>
          <w:kern w:val="0"/>
          <w:sz w:val="32"/>
          <w:szCs w:val="32"/>
          <w:u w:val="none" w:color="auto"/>
          <w:lang w:val="en-US" w:eastAsia="zh-CN"/>
        </w:rPr>
        <w:t>进一步规范非税收入“收支两条线”管理，部门单位支出安排不与专项收入、罚没收入、国有资产（资源）有偿使用收入等非税收入挂钩（详见附件</w:t>
      </w:r>
      <w:r>
        <w:rPr>
          <w:rFonts w:hint="default" w:ascii="Times New Roman" w:hAnsi="Times New Roman" w:eastAsia="仿宋_GB2312" w:cs="Times New Roman"/>
          <w:bCs/>
          <w:kern w:val="0"/>
          <w:sz w:val="32"/>
          <w:szCs w:val="32"/>
          <w:u w:val="none" w:color="auto"/>
          <w:lang w:val="en-US" w:eastAsia="zh-CN"/>
        </w:rPr>
        <w:t>2</w:t>
      </w:r>
      <w:r>
        <w:rPr>
          <w:rFonts w:hint="eastAsia" w:ascii="Times New Roman" w:hAnsi="Times New Roman" w:eastAsia="仿宋_GB2312"/>
          <w:bCs/>
          <w:kern w:val="0"/>
          <w:sz w:val="32"/>
          <w:szCs w:val="32"/>
          <w:u w:val="none" w:color="auto"/>
          <w:lang w:val="en-US" w:eastAsia="zh-CN"/>
        </w:rPr>
        <w:t>）。</w:t>
      </w:r>
    </w:p>
    <w:p>
      <w:pPr>
        <w:overflowPunct w:val="0"/>
        <w:spacing w:line="580" w:lineRule="exact"/>
        <w:ind w:firstLine="643" w:firstLineChars="200"/>
        <w:rPr>
          <w:rFonts w:hint="eastAsia" w:ascii="Times New Roman" w:hAnsi="Times New Roman" w:eastAsia="楷体_GB2312" w:cs="仿宋_GB2312"/>
          <w:b/>
          <w:kern w:val="0"/>
          <w:sz w:val="32"/>
          <w:szCs w:val="32"/>
          <w:u w:val="none" w:color="auto"/>
        </w:rPr>
      </w:pPr>
      <w:r>
        <w:rPr>
          <w:rFonts w:hint="eastAsia" w:ascii="Times New Roman" w:hAnsi="Times New Roman" w:eastAsia="楷体_GB2312" w:cs="仿宋_GB2312"/>
          <w:b/>
          <w:kern w:val="0"/>
          <w:sz w:val="32"/>
          <w:szCs w:val="32"/>
          <w:u w:val="none" w:color="auto"/>
        </w:rPr>
        <w:t>（三）基本支出预算</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1.工资福利支出。</w:t>
      </w:r>
      <w:r>
        <w:rPr>
          <w:rFonts w:hint="eastAsia" w:ascii="Times New Roman" w:hAnsi="Times New Roman" w:eastAsia="仿宋_GB2312" w:cs="仿宋_GB2312"/>
          <w:sz w:val="32"/>
          <w:szCs w:val="32"/>
          <w:u w:val="none" w:color="auto"/>
        </w:rPr>
        <w:t>包括基本工资、津贴补贴、奖金、绩效工资、</w:t>
      </w:r>
      <w:r>
        <w:rPr>
          <w:rFonts w:hint="eastAsia" w:ascii="Times New Roman" w:hAnsi="Times New Roman" w:eastAsia="仿宋_GB2312" w:cs="仿宋_GB2312"/>
          <w:sz w:val="32"/>
          <w:szCs w:val="32"/>
          <w:u w:val="none" w:color="auto"/>
          <w:lang w:eastAsia="zh-CN"/>
        </w:rPr>
        <w:t>公务交通补贴、</w:t>
      </w:r>
      <w:r>
        <w:rPr>
          <w:rFonts w:hint="eastAsia" w:ascii="Times New Roman" w:hAnsi="Times New Roman" w:eastAsia="仿宋_GB2312" w:cs="仿宋_GB2312"/>
          <w:sz w:val="32"/>
          <w:szCs w:val="32"/>
          <w:u w:val="none" w:color="auto"/>
        </w:rPr>
        <w:t>机关事业单位基本养老保险缴费、职业年金缴费、职工基本医疗保险缴费、公务员医疗补助缴费、住房公积金、其他工资福利支出。</w:t>
      </w:r>
    </w:p>
    <w:p>
      <w:pPr>
        <w:spacing w:line="360" w:lineRule="auto"/>
        <w:ind w:left="-27" w:leftChars="-13" w:firstLine="662" w:firstLineChars="206"/>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（1）基本工资。</w:t>
      </w:r>
      <w:r>
        <w:rPr>
          <w:rFonts w:hint="eastAsia" w:ascii="Times New Roman" w:hAnsi="Times New Roman" w:eastAsia="仿宋_GB2312" w:cs="仿宋_GB2312"/>
          <w:sz w:val="32"/>
          <w:szCs w:val="32"/>
          <w:u w:val="none" w:color="auto"/>
        </w:rPr>
        <w:t>按照单位实有在职人数和国家规定的标准（按202</w:t>
      </w:r>
      <w:r>
        <w:rPr>
          <w:rFonts w:hint="eastAsia" w:ascii="Times New Roman" w:hAnsi="Times New Roman" w:eastAsia="仿宋_GB2312" w:cs="仿宋_GB2312"/>
          <w:sz w:val="32"/>
          <w:szCs w:val="32"/>
          <w:u w:val="none" w:color="auto"/>
          <w:lang w:val="en-US" w:eastAsia="zh-CN"/>
        </w:rPr>
        <w:t>3</w:t>
      </w:r>
      <w:r>
        <w:rPr>
          <w:rFonts w:hint="eastAsia" w:ascii="Times New Roman" w:hAnsi="Times New Roman" w:eastAsia="仿宋_GB2312" w:cs="仿宋_GB2312"/>
          <w:sz w:val="32"/>
          <w:szCs w:val="32"/>
          <w:u w:val="none" w:color="auto"/>
        </w:rPr>
        <w:t>年</w:t>
      </w:r>
      <w:r>
        <w:rPr>
          <w:rFonts w:hint="eastAsia" w:ascii="Times New Roman" w:hAnsi="Times New Roman" w:eastAsia="仿宋_GB2312" w:cs="仿宋_GB2312"/>
          <w:sz w:val="32"/>
          <w:szCs w:val="32"/>
          <w:u w:val="none" w:color="auto"/>
          <w:lang w:val="en-US" w:eastAsia="zh-CN"/>
        </w:rPr>
        <w:t>9</w:t>
      </w:r>
      <w:r>
        <w:rPr>
          <w:rFonts w:hint="eastAsia" w:ascii="Times New Roman" w:hAnsi="Times New Roman" w:eastAsia="仿宋_GB2312" w:cs="仿宋_GB2312"/>
          <w:sz w:val="32"/>
          <w:szCs w:val="32"/>
          <w:u w:val="none" w:color="auto"/>
        </w:rPr>
        <w:t>月工资数填报）逐人计算安排。包括公务员的职务工资、级别工资；事业单位工作人员的岗位、薪级工资；机关工人的岗位工资、技术等级工资。</w:t>
      </w:r>
    </w:p>
    <w:p>
      <w:pPr>
        <w:spacing w:line="360" w:lineRule="auto"/>
        <w:ind w:left="-27" w:leftChars="-13" w:firstLine="662" w:firstLineChars="206"/>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（2）特殊岗位津贴。</w:t>
      </w:r>
      <w:r>
        <w:rPr>
          <w:rFonts w:hint="eastAsia" w:ascii="Times New Roman" w:hAnsi="Times New Roman" w:eastAsia="仿宋_GB2312" w:cs="仿宋_GB2312"/>
          <w:sz w:val="32"/>
          <w:szCs w:val="32"/>
          <w:u w:val="none" w:color="auto"/>
        </w:rPr>
        <w:t>经有关部门批准设立的机关工作人员岗位津贴按规定计算安排，含警衔津贴等。</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（3）在职人员统一津贴补贴。</w:t>
      </w:r>
      <w:r>
        <w:rPr>
          <w:rFonts w:hint="eastAsia" w:ascii="Times New Roman" w:hAnsi="Times New Roman" w:eastAsia="仿宋_GB2312" w:cs="仿宋_GB2312"/>
          <w:sz w:val="32"/>
          <w:szCs w:val="32"/>
          <w:u w:val="none" w:color="auto"/>
        </w:rPr>
        <w:t>公务员和参照公务员管理单位在职人员统一津贴补贴财政补助按《邵阳市人力资源和社会保障局 邵阳市财政局关于调整市直机关工作人员规范津贴补贴标准的通知》（邵人社发</w:t>
      </w:r>
      <w:r>
        <w:rPr>
          <w:rFonts w:ascii="Times New Roman" w:hAnsi="Times New Roman" w:eastAsia="仿宋_GB2312" w:cs="仿宋_GB2312"/>
          <w:kern w:val="0"/>
          <w:sz w:val="32"/>
          <w:szCs w:val="32"/>
          <w:u w:val="none" w:color="auto"/>
        </w:rPr>
        <w:t>〔</w:t>
      </w:r>
      <w:r>
        <w:rPr>
          <w:rFonts w:hint="eastAsia" w:ascii="Times New Roman" w:hAnsi="Times New Roman" w:eastAsia="仿宋_GB2312" w:cs="仿宋_GB2312"/>
          <w:kern w:val="0"/>
          <w:sz w:val="32"/>
          <w:szCs w:val="32"/>
          <w:u w:val="none" w:color="auto"/>
        </w:rPr>
        <w:t>2017</w:t>
      </w:r>
      <w:r>
        <w:rPr>
          <w:rFonts w:ascii="Times New Roman" w:hAnsi="Times New Roman" w:eastAsia="仿宋_GB2312" w:cs="仿宋_GB2312"/>
          <w:kern w:val="0"/>
          <w:sz w:val="32"/>
          <w:szCs w:val="32"/>
          <w:u w:val="none" w:color="auto"/>
        </w:rPr>
        <w:t>〕</w:t>
      </w:r>
      <w:r>
        <w:rPr>
          <w:rFonts w:hint="eastAsia" w:ascii="Times New Roman" w:hAnsi="Times New Roman" w:eastAsia="仿宋_GB2312" w:cs="仿宋_GB2312"/>
          <w:sz w:val="32"/>
          <w:szCs w:val="32"/>
          <w:u w:val="none" w:color="auto"/>
        </w:rPr>
        <w:t>61号）批复的标准，逐人计算安排。</w:t>
      </w:r>
    </w:p>
    <w:p>
      <w:pPr>
        <w:spacing w:line="360" w:lineRule="auto"/>
        <w:ind w:firstLine="643" w:firstLineChars="200"/>
        <w:rPr>
          <w:rFonts w:hint="eastAsia" w:ascii="Times New Roman" w:hAnsi="Times New Roman" w:eastAsia="仿宋_GB2312" w:cs="仿宋_GB2312"/>
          <w:sz w:val="32"/>
          <w:szCs w:val="32"/>
          <w:u w:val="none" w:color="auto"/>
          <w:lang w:eastAsia="zh-CN"/>
        </w:rPr>
      </w:pPr>
      <w:r>
        <w:rPr>
          <w:rFonts w:hint="eastAsia" w:ascii="Times New Roman" w:hAnsi="Times New Roman" w:eastAsia="仿宋_GB2312" w:cs="仿宋_GB2312"/>
          <w:b/>
          <w:sz w:val="32"/>
          <w:szCs w:val="32"/>
          <w:u w:val="none" w:color="auto"/>
        </w:rPr>
        <w:t>（4）奖金。</w:t>
      </w:r>
      <w:r>
        <w:rPr>
          <w:rFonts w:hint="eastAsia" w:ascii="Times New Roman" w:hAnsi="Times New Roman" w:eastAsia="仿宋_GB2312" w:cs="仿宋_GB2312"/>
          <w:sz w:val="32"/>
          <w:szCs w:val="32"/>
          <w:u w:val="none" w:color="auto"/>
        </w:rPr>
        <w:t>指按规定发放的奖金。</w:t>
      </w:r>
      <w:r>
        <w:rPr>
          <w:rFonts w:hint="eastAsia" w:ascii="Times New Roman" w:hAnsi="Times New Roman" w:eastAsia="仿宋_GB2312" w:cs="仿宋_GB2312"/>
          <w:b/>
          <w:bCs/>
          <w:sz w:val="32"/>
          <w:szCs w:val="32"/>
          <w:u w:val="none" w:color="auto"/>
        </w:rPr>
        <w:t>一是</w:t>
      </w:r>
      <w:r>
        <w:rPr>
          <w:rFonts w:hint="eastAsia" w:ascii="Times New Roman" w:hAnsi="Times New Roman" w:eastAsia="仿宋_GB2312" w:cs="仿宋_GB2312"/>
          <w:sz w:val="32"/>
          <w:szCs w:val="32"/>
          <w:u w:val="none" w:color="auto"/>
        </w:rPr>
        <w:t>国家统一规定的机关事业单位年终一次性奖金，按在职人员一个月工资计算。实行绩效工资单位（差额单位、自收自支单位除外）的奖金已包括在绩效工资之内,按规定取消年终一次性奖金。</w:t>
      </w:r>
      <w:r>
        <w:rPr>
          <w:rFonts w:hint="eastAsia" w:ascii="Times New Roman" w:hAnsi="Times New Roman" w:eastAsia="仿宋_GB2312" w:cs="仿宋_GB2312"/>
          <w:b/>
          <w:bCs/>
          <w:sz w:val="32"/>
          <w:szCs w:val="32"/>
          <w:u w:val="none" w:color="auto"/>
        </w:rPr>
        <w:t>二是</w:t>
      </w:r>
      <w:r>
        <w:rPr>
          <w:rFonts w:hint="eastAsia" w:ascii="Times New Roman" w:hAnsi="Times New Roman" w:eastAsia="仿宋_GB2312" w:cs="仿宋_GB2312"/>
          <w:sz w:val="32"/>
          <w:szCs w:val="32"/>
          <w:u w:val="none" w:color="auto"/>
          <w:lang w:eastAsia="zh-CN"/>
        </w:rPr>
        <w:t>基础绩效奖金</w:t>
      </w:r>
      <w:r>
        <w:rPr>
          <w:rFonts w:hint="eastAsia" w:ascii="Times New Roman" w:hAnsi="Times New Roman" w:eastAsia="仿宋_GB2312" w:cs="仿宋_GB2312"/>
          <w:sz w:val="32"/>
          <w:szCs w:val="32"/>
          <w:u w:val="none" w:color="auto"/>
        </w:rPr>
        <w:t>，</w:t>
      </w:r>
      <w:r>
        <w:rPr>
          <w:rFonts w:hint="eastAsia" w:ascii="Times New Roman" w:hAnsi="Times New Roman" w:eastAsia="仿宋_GB2312" w:cs="仿宋_GB2312"/>
          <w:sz w:val="32"/>
          <w:szCs w:val="32"/>
          <w:u w:val="none" w:color="auto"/>
          <w:lang w:eastAsia="zh-CN"/>
        </w:rPr>
        <w:t>全额</w:t>
      </w:r>
      <w:r>
        <w:rPr>
          <w:rFonts w:hint="eastAsia" w:ascii="Times New Roman" w:hAnsi="Times New Roman" w:eastAsia="仿宋_GB2312" w:cs="仿宋_GB2312"/>
          <w:sz w:val="32"/>
          <w:szCs w:val="32"/>
          <w:u w:val="none" w:color="auto"/>
        </w:rPr>
        <w:t>单位</w:t>
      </w:r>
      <w:r>
        <w:rPr>
          <w:rFonts w:hint="eastAsia" w:ascii="Times New Roman" w:hAnsi="Times New Roman" w:eastAsia="仿宋_GB2312" w:cs="仿宋_GB2312"/>
          <w:sz w:val="32"/>
          <w:szCs w:val="32"/>
          <w:u w:val="none" w:color="auto"/>
          <w:lang w:eastAsia="zh-CN"/>
        </w:rPr>
        <w:t>人员年初按照市委组织部等部门联合印发的《关于明确规范后公务员工资津贴补贴水平和基础绩效奖标准的通知》（邵财综〔2022〕1号）、《邵阳市规范市直机关公务员工资津贴补贴实施办法》（邵财综〔2022〕4号）、《邵阳市规范市直事业单位津贴补贴实施办法》（邵人社发〔2023〕14号）等文件规定的标准</w:t>
      </w:r>
      <w:r>
        <w:rPr>
          <w:rFonts w:hint="eastAsia" w:ascii="Times New Roman" w:hAnsi="Times New Roman" w:eastAsia="仿宋_GB2312" w:cs="仿宋_GB2312"/>
          <w:sz w:val="32"/>
          <w:szCs w:val="32"/>
          <w:u w:val="none" w:color="auto"/>
          <w:lang w:val="en-US" w:eastAsia="zh-CN"/>
        </w:rPr>
        <w:t>年初据实安排</w:t>
      </w:r>
      <w:r>
        <w:rPr>
          <w:rFonts w:hint="eastAsia" w:ascii="Times New Roman" w:hAnsi="Times New Roman" w:eastAsia="仿宋_GB2312" w:cs="仿宋_GB2312"/>
          <w:sz w:val="32"/>
          <w:szCs w:val="32"/>
          <w:u w:val="none" w:color="auto"/>
        </w:rPr>
        <w:t>。</w:t>
      </w:r>
      <w:r>
        <w:rPr>
          <w:rFonts w:hint="eastAsia" w:ascii="Times New Roman" w:hAnsi="Times New Roman" w:eastAsia="仿宋_GB2312" w:cs="仿宋_GB2312"/>
          <w:b/>
          <w:bCs/>
          <w:sz w:val="32"/>
          <w:szCs w:val="32"/>
          <w:u w:val="none" w:color="auto"/>
          <w:lang w:eastAsia="zh-CN"/>
        </w:rPr>
        <w:t>三是</w:t>
      </w:r>
      <w:r>
        <w:rPr>
          <w:rFonts w:hint="eastAsia" w:ascii="Times New Roman" w:hAnsi="Times New Roman" w:eastAsia="仿宋_GB2312" w:cs="仿宋_GB2312"/>
          <w:sz w:val="32"/>
          <w:szCs w:val="32"/>
          <w:u w:val="none" w:color="auto"/>
          <w:lang w:eastAsia="zh-CN"/>
        </w:rPr>
        <w:t>年度考核奖金，年初预算暂不安排到单位，待市委考核办出台年度考核结果后，根据单位考核等次据实测算。</w:t>
      </w:r>
    </w:p>
    <w:p>
      <w:pPr>
        <w:spacing w:line="360" w:lineRule="auto"/>
        <w:ind w:firstLine="643" w:firstLineChars="200"/>
        <w:rPr>
          <w:rFonts w:hint="eastAsia" w:ascii="Times New Roman" w:hAnsi="Times New Roman" w:eastAsia="仿宋_GB2312" w:cs="仿宋_GB2312"/>
          <w:b/>
          <w:bCs/>
          <w:sz w:val="32"/>
          <w:szCs w:val="32"/>
          <w:u w:val="none" w:color="auto"/>
        </w:rPr>
      </w:pPr>
      <w:r>
        <w:rPr>
          <w:rFonts w:hint="eastAsia" w:ascii="Times New Roman" w:hAnsi="Times New Roman" w:eastAsia="仿宋_GB2312" w:cs="仿宋_GB2312"/>
          <w:b/>
          <w:sz w:val="32"/>
          <w:szCs w:val="32"/>
          <w:u w:val="none" w:color="auto"/>
        </w:rPr>
        <w:t>（5）在职人员绩效工资。</w:t>
      </w:r>
      <w:r>
        <w:rPr>
          <w:rFonts w:hint="eastAsia" w:ascii="Times New Roman" w:hAnsi="Times New Roman" w:eastAsia="仿宋_GB2312" w:cs="仿宋_GB2312"/>
          <w:sz w:val="32"/>
          <w:szCs w:val="32"/>
          <w:u w:val="none" w:color="auto"/>
        </w:rPr>
        <w:t>义务教育学校、高中、完全中学绩效工资财政补助标准按《邵阳市人力资源和社会保障局 邵阳市财政局关于调整市直事业单位基础绩效工资总量和标准的通知》（邵人社发〔2017〕62号）的批复，核定的人平标准24800元/人.年，加1个月基本工资的100%计算安排，统筹用于绩效工资的发放。公共卫生事业单位绩效工资按市人力资源和社会保障局、市财政局有关文件核定差额安排。非义务教育学校(高中和完全中学除外) 、其他全额事业单位绩效工资财政补助标准按人平24800元的100%安排。差额事业单位绩效工资财政补助标准按人平24800元的60%计算安排。自收自支事业单位绩效工资自筹解决。</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（7）机关事业单位基本养老保险缴费</w:t>
      </w:r>
      <w:r>
        <w:rPr>
          <w:rFonts w:hint="eastAsia" w:ascii="Times New Roman" w:hAnsi="Times New Roman" w:eastAsia="仿宋_GB2312" w:cs="仿宋_GB2312"/>
          <w:b/>
          <w:bCs/>
          <w:sz w:val="32"/>
          <w:szCs w:val="32"/>
          <w:u w:val="none" w:color="auto"/>
        </w:rPr>
        <w:t>。</w:t>
      </w:r>
      <w:r>
        <w:rPr>
          <w:rFonts w:hint="eastAsia" w:ascii="Times New Roman" w:hAnsi="Times New Roman" w:eastAsia="仿宋_GB2312" w:cs="仿宋_GB2312"/>
          <w:sz w:val="32"/>
          <w:szCs w:val="32"/>
          <w:u w:val="none" w:color="auto"/>
        </w:rPr>
        <w:t>按基本工资、在职人员统一津贴补贴（或绩效工资）、</w:t>
      </w:r>
      <w:r>
        <w:rPr>
          <w:rFonts w:hint="eastAsia" w:ascii="Times New Roman" w:hAnsi="Times New Roman" w:eastAsia="仿宋_GB2312" w:cs="仿宋_GB2312"/>
          <w:sz w:val="32"/>
          <w:szCs w:val="32"/>
          <w:u w:val="none" w:color="auto"/>
          <w:lang w:eastAsia="zh-CN"/>
        </w:rPr>
        <w:t>基础绩效奖、</w:t>
      </w:r>
      <w:r>
        <w:rPr>
          <w:rFonts w:hint="eastAsia" w:ascii="Times New Roman" w:hAnsi="Times New Roman" w:eastAsia="仿宋_GB2312" w:cs="仿宋_GB2312"/>
          <w:sz w:val="32"/>
          <w:szCs w:val="32"/>
          <w:u w:val="none" w:color="auto"/>
        </w:rPr>
        <w:t>行政和参公单位的一个月奖励工资之和的16%计算安排。</w:t>
      </w:r>
    </w:p>
    <w:p>
      <w:pPr>
        <w:spacing w:line="360" w:lineRule="auto"/>
        <w:ind w:left="-27" w:leftChars="-13"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（8）基本医疗保险缴费。</w:t>
      </w:r>
      <w:r>
        <w:rPr>
          <w:rFonts w:hint="eastAsia" w:ascii="Times New Roman" w:hAnsi="Times New Roman" w:eastAsia="仿宋_GB2312" w:cs="仿宋_GB2312"/>
          <w:sz w:val="32"/>
          <w:szCs w:val="32"/>
          <w:u w:val="none" w:color="auto"/>
        </w:rPr>
        <w:t>按基本工资、在职人员统一津贴补贴（或绩效工资）、行政和参公单位的一个月奖励工资之和的8%计算安排。</w:t>
      </w:r>
    </w:p>
    <w:p>
      <w:pPr>
        <w:spacing w:line="360" w:lineRule="auto"/>
        <w:ind w:left="-27" w:leftChars="-13"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（9）公务员医疗补助。</w:t>
      </w:r>
      <w:r>
        <w:rPr>
          <w:rFonts w:hint="eastAsia" w:ascii="Times New Roman" w:hAnsi="Times New Roman" w:eastAsia="仿宋_GB2312" w:cs="仿宋_GB2312"/>
          <w:sz w:val="32"/>
          <w:szCs w:val="32"/>
          <w:u w:val="none" w:color="auto"/>
        </w:rPr>
        <w:t>公务员单位（含纳入公务员管理单位和参照公务员管理单位）按在职人员基本工资和基本退休费的５%安排。</w:t>
      </w:r>
    </w:p>
    <w:p>
      <w:pPr>
        <w:spacing w:line="360" w:lineRule="auto"/>
        <w:ind w:left="-27" w:leftChars="-13"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（10）其他社会保障缴费。</w:t>
      </w:r>
      <w:r>
        <w:rPr>
          <w:rFonts w:hint="eastAsia" w:ascii="Times New Roman" w:hAnsi="Times New Roman" w:eastAsia="仿宋_GB2312" w:cs="仿宋_GB2312"/>
          <w:sz w:val="32"/>
          <w:szCs w:val="32"/>
          <w:u w:val="none" w:color="auto"/>
        </w:rPr>
        <w:t>指单位为职工缴纳的失业、工伤、生育、大病统筹等社会保险费。其中工伤保险缴费按基本工资、在职人员统一津贴补贴（或绩效工资）之和的</w:t>
      </w:r>
      <w:r>
        <w:rPr>
          <w:rFonts w:hint="eastAsia" w:ascii="Times New Roman" w:hAnsi="Times New Roman" w:eastAsia="仿宋_GB2312" w:cs="仿宋_GB2312"/>
          <w:sz w:val="32"/>
          <w:szCs w:val="32"/>
          <w:u w:val="none" w:color="auto"/>
          <w:lang w:val="en-US" w:eastAsia="zh-CN"/>
        </w:rPr>
        <w:t>0.7</w:t>
      </w:r>
      <w:r>
        <w:rPr>
          <w:rFonts w:hint="eastAsia" w:ascii="Times New Roman" w:hAnsi="Times New Roman" w:eastAsia="仿宋_GB2312" w:cs="仿宋_GB2312"/>
          <w:sz w:val="32"/>
          <w:szCs w:val="32"/>
          <w:u w:val="none" w:color="auto"/>
        </w:rPr>
        <w:t>%计算安排。失业保险缴费行政单位不计算安排，事业单位按基本工资、在职人员统一津贴补贴（或绩效工资）之和的0.7%计算安排。生育保险缴费按基本工资、在职人员统一津贴补贴（或绩效工资）之和的0.5%计算安排。职工大病互助补助按在职人员、退休人员1</w:t>
      </w:r>
      <w:r>
        <w:rPr>
          <w:rFonts w:hint="eastAsia" w:ascii="Times New Roman" w:hAnsi="Times New Roman" w:eastAsia="仿宋_GB2312" w:cs="仿宋_GB2312"/>
          <w:sz w:val="32"/>
          <w:szCs w:val="32"/>
          <w:u w:val="none" w:color="auto"/>
          <w:lang w:val="en-US" w:eastAsia="zh-CN"/>
        </w:rPr>
        <w:t>8</w:t>
      </w:r>
      <w:r>
        <w:rPr>
          <w:rFonts w:hint="eastAsia" w:ascii="Times New Roman" w:hAnsi="Times New Roman" w:eastAsia="仿宋_GB2312" w:cs="仿宋_GB2312"/>
          <w:sz w:val="32"/>
          <w:szCs w:val="32"/>
          <w:u w:val="none" w:color="auto"/>
        </w:rPr>
        <w:t>0元/人.年安排。</w:t>
      </w:r>
    </w:p>
    <w:p>
      <w:pPr>
        <w:spacing w:line="360" w:lineRule="auto"/>
        <w:ind w:left="-27" w:leftChars="-13"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（11）住房公积金。</w:t>
      </w:r>
      <w:r>
        <w:rPr>
          <w:rFonts w:hint="eastAsia" w:ascii="Times New Roman" w:hAnsi="Times New Roman" w:eastAsia="仿宋_GB2312" w:cs="仿宋_GB2312"/>
          <w:sz w:val="32"/>
          <w:szCs w:val="32"/>
          <w:u w:val="none" w:color="auto"/>
        </w:rPr>
        <w:t>按在职人员年基本工资、在职人员统一津贴补贴（或绩效工资）、</w:t>
      </w:r>
      <w:r>
        <w:rPr>
          <w:rFonts w:hint="eastAsia" w:ascii="Times New Roman" w:hAnsi="Times New Roman" w:eastAsia="仿宋_GB2312" w:cs="仿宋_GB2312"/>
          <w:sz w:val="32"/>
          <w:szCs w:val="32"/>
          <w:u w:val="none" w:color="auto"/>
          <w:lang w:eastAsia="zh-CN"/>
        </w:rPr>
        <w:t>绩效奖金（包括基础绩效奖与年度考核奖）、</w:t>
      </w:r>
      <w:r>
        <w:rPr>
          <w:rFonts w:hint="eastAsia" w:ascii="Times New Roman" w:hAnsi="Times New Roman" w:eastAsia="仿宋_GB2312" w:cs="仿宋_GB2312"/>
          <w:sz w:val="32"/>
          <w:szCs w:val="32"/>
          <w:u w:val="none" w:color="auto"/>
        </w:rPr>
        <w:t>行政和参公单位的一个月奖励工资之和的12%安排</w:t>
      </w:r>
      <w:r>
        <w:rPr>
          <w:rFonts w:hint="eastAsia" w:ascii="Times New Roman" w:hAnsi="Times New Roman" w:eastAsia="仿宋_GB2312" w:cs="仿宋_GB2312"/>
          <w:b/>
          <w:bCs/>
          <w:sz w:val="32"/>
          <w:szCs w:val="32"/>
          <w:u w:val="none" w:color="auto"/>
        </w:rPr>
        <w:t>。</w:t>
      </w:r>
    </w:p>
    <w:p>
      <w:pPr>
        <w:spacing w:line="360" w:lineRule="auto"/>
        <w:ind w:left="-27" w:leftChars="-13"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lang w:eastAsia="zh-CN"/>
        </w:rPr>
        <w:t>（</w:t>
      </w:r>
      <w:r>
        <w:rPr>
          <w:rFonts w:hint="eastAsia" w:ascii="Times New Roman" w:hAnsi="Times New Roman" w:eastAsia="仿宋_GB2312" w:cs="仿宋_GB2312"/>
          <w:b/>
          <w:sz w:val="32"/>
          <w:szCs w:val="32"/>
          <w:u w:val="none" w:color="auto"/>
          <w:lang w:val="en-US" w:eastAsia="zh-CN"/>
        </w:rPr>
        <w:t>12</w:t>
      </w:r>
      <w:r>
        <w:rPr>
          <w:rFonts w:hint="eastAsia" w:ascii="Times New Roman" w:hAnsi="Times New Roman" w:eastAsia="仿宋_GB2312" w:cs="仿宋_GB2312"/>
          <w:b/>
          <w:sz w:val="32"/>
          <w:szCs w:val="32"/>
          <w:u w:val="none" w:color="auto"/>
          <w:lang w:eastAsia="zh-CN"/>
        </w:rPr>
        <w:t>）</w:t>
      </w:r>
      <w:r>
        <w:rPr>
          <w:rFonts w:hint="eastAsia" w:ascii="Times New Roman" w:hAnsi="Times New Roman" w:eastAsia="仿宋_GB2312" w:cs="仿宋_GB2312"/>
          <w:b/>
          <w:sz w:val="32"/>
          <w:szCs w:val="32"/>
          <w:u w:val="none" w:color="auto"/>
        </w:rPr>
        <w:t>其他工资福利支出。</w:t>
      </w:r>
      <w:r>
        <w:rPr>
          <w:rFonts w:hint="eastAsia" w:ascii="Times New Roman" w:hAnsi="Times New Roman" w:eastAsia="仿宋_GB2312" w:cs="仿宋_GB2312"/>
          <w:sz w:val="32"/>
          <w:szCs w:val="32"/>
          <w:u w:val="none" w:color="auto"/>
        </w:rPr>
        <w:t>指单位聘请临时人员工资。各单位不得超编聘请临时人员，但在不超编并且工勤人员编制有空缺前提下经有关部门批准可以聘请临时工勤人员。临时人员工资按1000元/人.月计算安排。</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2.对个人和家庭补助支出。</w:t>
      </w:r>
      <w:r>
        <w:rPr>
          <w:rFonts w:hint="eastAsia" w:ascii="Times New Roman" w:hAnsi="Times New Roman" w:eastAsia="仿宋_GB2312" w:cs="仿宋_GB2312"/>
          <w:sz w:val="32"/>
          <w:szCs w:val="32"/>
          <w:u w:val="none" w:color="auto"/>
        </w:rPr>
        <w:t>包括离休费、退休费、抚恤费、其他对个人和家庭的补助支出。</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（1）离休费：</w:t>
      </w:r>
      <w:r>
        <w:rPr>
          <w:rFonts w:hint="eastAsia" w:ascii="Times New Roman" w:hAnsi="Times New Roman" w:eastAsia="仿宋_GB2312" w:cs="仿宋_GB2312"/>
          <w:sz w:val="32"/>
          <w:szCs w:val="32"/>
          <w:u w:val="none" w:color="auto"/>
        </w:rPr>
        <w:t>机关事业单位国家规定的标准（按2020年11月发放的离休费填报）逐人计算安排，包括离休干部增加的生活补贴和护理费，1937年7月6日以前参加工作的离休干部，增加3个月标准工资；1937年7月7日至1942年12月31日之间参加工作的离休干部，增加2个半月标准工资；1943年1月1日至1945年9月2日之间参加工作的离休干部，增加2个月标准工资；1945年9月3日至1949年9月30日参加革命工作的离休干部，每年增发一个月的标准工资。</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（2）退休费：</w:t>
      </w:r>
      <w:r>
        <w:rPr>
          <w:rFonts w:hint="eastAsia" w:ascii="Times New Roman" w:hAnsi="Times New Roman" w:eastAsia="仿宋_GB2312" w:cs="仿宋_GB2312"/>
          <w:sz w:val="32"/>
          <w:szCs w:val="32"/>
          <w:u w:val="none" w:color="auto"/>
        </w:rPr>
        <w:t>指机关事业单位和军队移交政府安置的退休人员的退休费。单位不填列。</w:t>
      </w:r>
    </w:p>
    <w:p>
      <w:pPr>
        <w:spacing w:line="360" w:lineRule="auto"/>
        <w:ind w:firstLine="643" w:firstLineChars="200"/>
        <w:rPr>
          <w:rFonts w:hint="eastAsia" w:ascii="Times New Roman" w:hAnsi="Times New Roman" w:eastAsia="仿宋_GB2312" w:cs="仿宋_GB2312"/>
          <w:color w:val="auto"/>
          <w:sz w:val="32"/>
          <w:szCs w:val="32"/>
          <w:u w:val="none" w:color="auto"/>
        </w:rPr>
      </w:pPr>
      <w:r>
        <w:rPr>
          <w:rFonts w:hint="eastAsia" w:ascii="Times New Roman" w:hAnsi="Times New Roman" w:eastAsia="仿宋_GB2312" w:cs="仿宋_GB2312"/>
          <w:b/>
          <w:sz w:val="32"/>
          <w:szCs w:val="32"/>
          <w:u w:val="none" w:color="auto"/>
        </w:rPr>
        <w:t>（3）抚恤费：</w:t>
      </w:r>
      <w:r>
        <w:rPr>
          <w:rFonts w:hint="eastAsia" w:ascii="Times New Roman" w:hAnsi="Times New Roman" w:eastAsia="仿宋_GB2312" w:cs="仿宋_GB2312"/>
          <w:color w:val="auto"/>
          <w:sz w:val="32"/>
          <w:szCs w:val="32"/>
          <w:u w:val="none" w:color="auto"/>
        </w:rPr>
        <w:t>行政单位和具有行政职能的事业单位、义务教育单位一次性抚恤金、死亡丧葬费按单位基本工资标准计算按5%掌握，不安排到单位，当年发生经费在财政集中掌握的福利费预留中追加安排；遗属生活补助、因公（工）致残人员残疾抚恤金按单位202</w:t>
      </w:r>
      <w:r>
        <w:rPr>
          <w:rFonts w:hint="eastAsia" w:ascii="Times New Roman" w:hAnsi="Times New Roman" w:eastAsia="仿宋_GB2312" w:cs="仿宋_GB2312"/>
          <w:color w:val="auto"/>
          <w:sz w:val="32"/>
          <w:szCs w:val="32"/>
          <w:u w:val="none" w:color="auto"/>
          <w:lang w:val="en-US" w:eastAsia="zh-CN"/>
        </w:rPr>
        <w:t>2</w:t>
      </w:r>
      <w:r>
        <w:rPr>
          <w:rFonts w:hint="eastAsia" w:ascii="Times New Roman" w:hAnsi="Times New Roman" w:eastAsia="仿宋_GB2312" w:cs="仿宋_GB2312"/>
          <w:color w:val="auto"/>
          <w:sz w:val="32"/>
          <w:szCs w:val="32"/>
          <w:u w:val="none" w:color="auto"/>
        </w:rPr>
        <w:t>年</w:t>
      </w:r>
      <w:r>
        <w:rPr>
          <w:rFonts w:hint="eastAsia" w:ascii="Times New Roman" w:hAnsi="Times New Roman" w:eastAsia="仿宋_GB2312" w:cs="仿宋_GB2312"/>
          <w:color w:val="auto"/>
          <w:sz w:val="32"/>
          <w:szCs w:val="32"/>
          <w:u w:val="none" w:color="auto"/>
          <w:lang w:val="en-US" w:eastAsia="zh-CN"/>
        </w:rPr>
        <w:t>9</w:t>
      </w:r>
      <w:r>
        <w:rPr>
          <w:rFonts w:hint="eastAsia" w:ascii="Times New Roman" w:hAnsi="Times New Roman" w:eastAsia="仿宋_GB2312" w:cs="仿宋_GB2312"/>
          <w:color w:val="auto"/>
          <w:sz w:val="32"/>
          <w:szCs w:val="32"/>
          <w:u w:val="none" w:color="auto"/>
        </w:rPr>
        <w:t>月实际开支标准计算安排。</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bCs/>
          <w:sz w:val="32"/>
          <w:szCs w:val="32"/>
          <w:u w:val="none" w:color="auto"/>
        </w:rPr>
        <w:t>（4）离退休人员一次性生活补贴：</w:t>
      </w:r>
      <w:r>
        <w:rPr>
          <w:rFonts w:hint="eastAsia" w:ascii="Times New Roman" w:hAnsi="Times New Roman" w:eastAsia="仿宋_GB2312" w:cs="仿宋_GB2312"/>
          <w:sz w:val="32"/>
          <w:szCs w:val="32"/>
          <w:u w:val="none" w:color="auto"/>
          <w:lang w:eastAsia="zh-CN"/>
        </w:rPr>
        <w:t>年初按照</w:t>
      </w:r>
      <w:r>
        <w:rPr>
          <w:rFonts w:hint="eastAsia" w:ascii="Times New Roman" w:hAnsi="Times New Roman" w:eastAsia="仿宋_GB2312" w:cs="仿宋_GB2312"/>
          <w:sz w:val="32"/>
          <w:szCs w:val="32"/>
          <w:u w:val="none" w:color="auto"/>
          <w:lang w:val="en-US" w:eastAsia="zh-CN"/>
        </w:rPr>
        <w:t>7000元/人.年安排到单位，年中再根据本单位同职级在职人员基础绩效奖的一定比例（离休人员90%、退休人员50%）据实测算。</w:t>
      </w:r>
    </w:p>
    <w:p>
      <w:pPr>
        <w:spacing w:line="580" w:lineRule="exact"/>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bCs/>
          <w:sz w:val="32"/>
          <w:szCs w:val="32"/>
          <w:u w:val="none" w:color="auto"/>
        </w:rPr>
        <w:t>（5）</w:t>
      </w:r>
      <w:r>
        <w:rPr>
          <w:rFonts w:hint="eastAsia" w:ascii="Times New Roman" w:hAnsi="Times New Roman" w:eastAsia="仿宋_GB2312" w:cs="仿宋_GB2312"/>
          <w:b/>
          <w:sz w:val="32"/>
          <w:szCs w:val="32"/>
          <w:u w:val="none" w:color="auto"/>
        </w:rPr>
        <w:t>其他对个人和家庭的补助：</w:t>
      </w:r>
      <w:r>
        <w:rPr>
          <w:rFonts w:hint="eastAsia" w:ascii="Times New Roman" w:hAnsi="Times New Roman" w:eastAsia="仿宋_GB2312" w:cs="仿宋_GB2312"/>
          <w:sz w:val="32"/>
          <w:szCs w:val="32"/>
          <w:u w:val="none" w:color="auto"/>
        </w:rPr>
        <w:t>除以上以外的对个人和家庭补助支出按在职人员基本工资1%计算安排，包括独生子女</w:t>
      </w:r>
      <w:r>
        <w:rPr>
          <w:rFonts w:hint="eastAsia" w:ascii="Times New Roman" w:hAnsi="Times New Roman" w:eastAsia="仿宋_GB2312" w:cs="仿宋_GB2312"/>
          <w:sz w:val="32"/>
          <w:szCs w:val="32"/>
          <w:u w:val="none" w:color="auto"/>
          <w:lang w:eastAsia="zh-CN"/>
        </w:rPr>
        <w:t>（</w:t>
      </w:r>
      <w:r>
        <w:rPr>
          <w:rFonts w:hint="eastAsia" w:ascii="Times New Roman" w:hAnsi="Times New Roman" w:eastAsia="仿宋_GB2312" w:cs="仿宋_GB2312"/>
          <w:sz w:val="32"/>
          <w:szCs w:val="32"/>
          <w:u w:val="none" w:color="auto"/>
        </w:rPr>
        <w:t>独生子女14岁以下</w:t>
      </w:r>
      <w:r>
        <w:rPr>
          <w:rFonts w:hint="eastAsia" w:ascii="Times New Roman" w:hAnsi="Times New Roman" w:eastAsia="仿宋_GB2312" w:cs="仿宋_GB2312"/>
          <w:sz w:val="32"/>
          <w:szCs w:val="32"/>
          <w:u w:val="none" w:color="auto"/>
          <w:lang w:eastAsia="zh-CN"/>
        </w:rPr>
        <w:t>）</w:t>
      </w:r>
      <w:r>
        <w:rPr>
          <w:rFonts w:hint="eastAsia" w:ascii="Times New Roman" w:hAnsi="Times New Roman" w:eastAsia="仿宋_GB2312" w:cs="仿宋_GB2312"/>
          <w:sz w:val="32"/>
          <w:szCs w:val="32"/>
          <w:u w:val="none" w:color="auto"/>
        </w:rPr>
        <w:t>保健费、其他各项支出。</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bCs w:val="0"/>
          <w:sz w:val="32"/>
          <w:szCs w:val="32"/>
          <w:u w:val="none" w:color="auto"/>
          <w:lang w:val="en-US" w:eastAsia="zh-CN"/>
        </w:rPr>
        <w:t>3.</w:t>
      </w:r>
      <w:r>
        <w:rPr>
          <w:rFonts w:hint="eastAsia" w:ascii="Times New Roman" w:hAnsi="Times New Roman" w:eastAsia="仿宋_GB2312" w:cs="仿宋_GB2312"/>
          <w:b/>
          <w:sz w:val="32"/>
          <w:szCs w:val="32"/>
          <w:u w:val="none" w:color="auto"/>
        </w:rPr>
        <w:t>商品和服务支出。</w:t>
      </w:r>
      <w:r>
        <w:rPr>
          <w:rFonts w:hint="eastAsia" w:ascii="Times New Roman" w:hAnsi="Times New Roman" w:eastAsia="仿宋_GB2312" w:cs="仿宋_GB2312"/>
          <w:sz w:val="32"/>
          <w:szCs w:val="32"/>
          <w:u w:val="none" w:color="auto"/>
        </w:rPr>
        <w:t>包括一般公用经费、福利费、工会经费。</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（1）一般公用经费：</w:t>
      </w:r>
      <w:r>
        <w:rPr>
          <w:rFonts w:hint="eastAsia" w:ascii="Times New Roman" w:hAnsi="Times New Roman" w:eastAsia="仿宋_GB2312" w:cs="仿宋_GB2312"/>
          <w:sz w:val="32"/>
          <w:szCs w:val="32"/>
          <w:u w:val="none" w:color="auto"/>
        </w:rPr>
        <w:t>包括办公费、印刷费、手续费、水费、电费、邮电费、物业管理费、差旅费、因公出国（境）费用、维修（护）费、税金及附加费用、租赁费、会议费、培训费、公务接待费、专用材料费、被装购置费、专用燃料费、劳务费、委托业务费、公务用车运行维护费、其他交通费用、税金及附加费用、其他商品和服务支出。202</w:t>
      </w:r>
      <w:r>
        <w:rPr>
          <w:rFonts w:hint="eastAsia" w:ascii="Times New Roman" w:hAnsi="Times New Roman" w:eastAsia="仿宋_GB2312" w:cs="仿宋_GB2312"/>
          <w:sz w:val="32"/>
          <w:szCs w:val="32"/>
          <w:u w:val="none" w:color="auto"/>
          <w:lang w:val="en-US" w:eastAsia="zh-CN"/>
        </w:rPr>
        <w:t>4</w:t>
      </w:r>
      <w:r>
        <w:rPr>
          <w:rFonts w:hint="eastAsia" w:ascii="Times New Roman" w:hAnsi="Times New Roman" w:eastAsia="仿宋_GB2312" w:cs="仿宋_GB2312"/>
          <w:sz w:val="32"/>
          <w:szCs w:val="32"/>
          <w:u w:val="none" w:color="auto"/>
        </w:rPr>
        <w:t>年市本级预算根据各预算单位的性质和财政供给政策，除保留日常公用经费中的</w:t>
      </w:r>
      <w:r>
        <w:rPr>
          <w:rFonts w:hint="eastAsia" w:ascii="Times New Roman" w:hAnsi="Times New Roman" w:eastAsia="仿宋_GB2312" w:cs="仿宋_GB2312"/>
          <w:sz w:val="32"/>
          <w:szCs w:val="32"/>
          <w:u w:val="none" w:color="auto"/>
          <w:lang w:eastAsia="zh-CN"/>
        </w:rPr>
        <w:t>公务交通补贴、</w:t>
      </w:r>
      <w:r>
        <w:rPr>
          <w:rFonts w:hint="eastAsia" w:ascii="Times New Roman" w:hAnsi="Times New Roman" w:eastAsia="仿宋_GB2312" w:cs="仿宋_GB2312"/>
          <w:sz w:val="32"/>
          <w:szCs w:val="32"/>
          <w:u w:val="none" w:color="auto"/>
        </w:rPr>
        <w:t>福利费和工会经费单列外，将市直单位一般商品和服务支出实行分档分类，一般公用经费支出预算控制数按照单位实有在职人数*分类分档标准，分类分档标准安排共分以下</w:t>
      </w:r>
      <w:r>
        <w:rPr>
          <w:rFonts w:hint="eastAsia" w:ascii="Times New Roman" w:hAnsi="Times New Roman" w:eastAsia="仿宋_GB2312" w:cs="仿宋_GB2312"/>
          <w:sz w:val="32"/>
          <w:szCs w:val="32"/>
          <w:u w:val="none" w:color="auto"/>
          <w:lang w:val="en-US" w:eastAsia="zh-CN"/>
        </w:rPr>
        <w:t>9</w:t>
      </w:r>
      <w:r>
        <w:rPr>
          <w:rFonts w:hint="eastAsia" w:ascii="Times New Roman" w:hAnsi="Times New Roman" w:eastAsia="仿宋_GB2312" w:cs="仿宋_GB2312"/>
          <w:sz w:val="32"/>
          <w:szCs w:val="32"/>
          <w:u w:val="none" w:color="auto"/>
        </w:rPr>
        <w:t>类：</w:t>
      </w:r>
    </w:p>
    <w:p>
      <w:pPr>
        <w:spacing w:line="360" w:lineRule="auto"/>
        <w:ind w:firstLine="640"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sz w:val="32"/>
          <w:szCs w:val="32"/>
          <w:u w:val="none" w:color="auto"/>
        </w:rPr>
        <w:t>①市级领导经费按</w:t>
      </w:r>
      <w:r>
        <w:rPr>
          <w:rFonts w:hint="eastAsia" w:ascii="Times New Roman" w:hAnsi="Times New Roman" w:eastAsia="仿宋_GB2312" w:cs="仿宋_GB2312"/>
          <w:sz w:val="32"/>
          <w:szCs w:val="32"/>
          <w:u w:val="none" w:color="auto"/>
          <w:lang w:val="en-US" w:eastAsia="zh-CN"/>
        </w:rPr>
        <w:t>7.2</w:t>
      </w:r>
      <w:r>
        <w:rPr>
          <w:rFonts w:hint="eastAsia" w:ascii="Times New Roman" w:hAnsi="Times New Roman" w:eastAsia="仿宋_GB2312" w:cs="仿宋_GB2312"/>
          <w:sz w:val="32"/>
          <w:szCs w:val="32"/>
          <w:u w:val="none" w:color="auto"/>
        </w:rPr>
        <w:t>万元/人.年单列。二级巡视员按</w:t>
      </w:r>
      <w:r>
        <w:rPr>
          <w:rFonts w:hint="eastAsia" w:ascii="Times New Roman" w:hAnsi="Times New Roman" w:eastAsia="仿宋_GB2312" w:cs="仿宋_GB2312"/>
          <w:sz w:val="32"/>
          <w:szCs w:val="32"/>
          <w:u w:val="none" w:color="auto"/>
          <w:lang w:val="en-US" w:eastAsia="zh-CN"/>
        </w:rPr>
        <w:t xml:space="preserve"> 4</w:t>
      </w:r>
      <w:r>
        <w:rPr>
          <w:rFonts w:hint="eastAsia" w:ascii="Times New Roman" w:hAnsi="Times New Roman" w:eastAsia="仿宋_GB2312" w:cs="仿宋_GB2312"/>
          <w:sz w:val="32"/>
          <w:szCs w:val="32"/>
          <w:u w:val="none" w:color="auto"/>
        </w:rPr>
        <w:t>万元/人.年单列。</w:t>
      </w:r>
    </w:p>
    <w:p>
      <w:pPr>
        <w:spacing w:line="360" w:lineRule="auto"/>
        <w:ind w:firstLine="640"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sz w:val="32"/>
          <w:szCs w:val="32"/>
          <w:u w:val="none" w:color="auto"/>
        </w:rPr>
        <w:t>②市四大家：3.6万元/人.年。</w:t>
      </w:r>
    </w:p>
    <w:p>
      <w:pPr>
        <w:spacing w:line="360" w:lineRule="auto"/>
        <w:ind w:firstLine="640"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sz w:val="32"/>
          <w:szCs w:val="32"/>
          <w:u w:val="none" w:color="auto"/>
        </w:rPr>
        <w:t>③</w:t>
      </w:r>
      <w:r>
        <w:rPr>
          <w:rFonts w:hint="eastAsia" w:ascii="Times New Roman" w:hAnsi="Times New Roman" w:eastAsia="仿宋_GB2312" w:cs="仿宋_GB2312"/>
          <w:sz w:val="32"/>
          <w:szCs w:val="32"/>
          <w:u w:val="none" w:color="auto"/>
          <w:lang w:eastAsia="zh-CN"/>
        </w:rPr>
        <w:t>政法部门</w:t>
      </w:r>
      <w:r>
        <w:rPr>
          <w:rFonts w:hint="eastAsia" w:ascii="Times New Roman" w:hAnsi="Times New Roman" w:eastAsia="仿宋_GB2312" w:cs="仿宋_GB2312"/>
          <w:sz w:val="32"/>
          <w:szCs w:val="32"/>
          <w:u w:val="none" w:color="auto"/>
        </w:rPr>
        <w:t>：</w:t>
      </w:r>
      <w:r>
        <w:rPr>
          <w:rFonts w:hint="eastAsia" w:ascii="Times New Roman" w:hAnsi="Times New Roman" w:eastAsia="仿宋_GB2312" w:cs="仿宋_GB2312"/>
          <w:sz w:val="32"/>
          <w:szCs w:val="32"/>
          <w:u w:val="none" w:color="auto"/>
          <w:lang w:val="en-US" w:eastAsia="zh-CN"/>
        </w:rPr>
        <w:t>2.88</w:t>
      </w:r>
      <w:r>
        <w:rPr>
          <w:rFonts w:hint="eastAsia" w:ascii="Times New Roman" w:hAnsi="Times New Roman" w:eastAsia="仿宋_GB2312" w:cs="仿宋_GB2312"/>
          <w:sz w:val="32"/>
          <w:szCs w:val="32"/>
          <w:u w:val="none" w:color="auto"/>
        </w:rPr>
        <w:t>万元/人.年。</w:t>
      </w:r>
    </w:p>
    <w:p>
      <w:pPr>
        <w:spacing w:line="360" w:lineRule="auto"/>
        <w:ind w:firstLine="640"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sz w:val="32"/>
          <w:szCs w:val="32"/>
          <w:u w:val="none" w:color="auto"/>
        </w:rPr>
        <w:t>④</w:t>
      </w:r>
      <w:r>
        <w:rPr>
          <w:rFonts w:hint="eastAsia" w:ascii="Times New Roman" w:hAnsi="Times New Roman" w:eastAsia="仿宋_GB2312" w:cs="仿宋_GB2312"/>
          <w:sz w:val="32"/>
          <w:szCs w:val="32"/>
          <w:u w:val="none" w:color="auto"/>
          <w:lang w:eastAsia="zh-CN"/>
        </w:rPr>
        <w:t>党政机关：</w:t>
      </w:r>
      <w:r>
        <w:rPr>
          <w:rFonts w:hint="eastAsia" w:ascii="Times New Roman" w:hAnsi="Times New Roman" w:eastAsia="仿宋_GB2312" w:cs="仿宋_GB2312"/>
          <w:sz w:val="32"/>
          <w:szCs w:val="32"/>
          <w:u w:val="none" w:color="auto"/>
          <w:lang w:val="en-US" w:eastAsia="zh-CN"/>
        </w:rPr>
        <w:t>2.52万元</w:t>
      </w:r>
      <w:r>
        <w:rPr>
          <w:rFonts w:hint="eastAsia" w:ascii="Times New Roman" w:hAnsi="Times New Roman" w:eastAsia="仿宋_GB2312" w:cs="仿宋_GB2312"/>
          <w:sz w:val="32"/>
          <w:szCs w:val="32"/>
          <w:u w:val="none" w:color="auto"/>
        </w:rPr>
        <w:t>/人.年。</w:t>
      </w:r>
    </w:p>
    <w:p>
      <w:pPr>
        <w:spacing w:line="360" w:lineRule="auto"/>
        <w:ind w:firstLine="640"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sz w:val="32"/>
          <w:szCs w:val="32"/>
          <w:u w:val="none" w:color="auto"/>
        </w:rPr>
        <w:t>⑤参照公务员管理的正处级事业单位2.16万元/人.年</w:t>
      </w:r>
      <w:r>
        <w:rPr>
          <w:rFonts w:hint="eastAsia" w:ascii="Times New Roman" w:hAnsi="Times New Roman" w:eastAsia="仿宋_GB2312" w:cs="仿宋_GB2312"/>
          <w:sz w:val="32"/>
          <w:szCs w:val="32"/>
          <w:u w:val="none" w:color="auto"/>
          <w:lang w:eastAsia="zh-CN"/>
        </w:rPr>
        <w:t>，</w:t>
      </w:r>
      <w:r>
        <w:rPr>
          <w:rFonts w:hint="eastAsia" w:ascii="Times New Roman" w:hAnsi="Times New Roman" w:eastAsia="仿宋_GB2312" w:cs="仿宋_GB2312"/>
          <w:sz w:val="32"/>
          <w:szCs w:val="32"/>
          <w:u w:val="none" w:color="auto"/>
        </w:rPr>
        <w:t>参照公务员管理的副处级及科级事业单位1.8万元/人.年</w:t>
      </w:r>
      <w:r>
        <w:rPr>
          <w:rFonts w:hint="eastAsia" w:ascii="Times New Roman" w:hAnsi="Times New Roman" w:eastAsia="仿宋_GB2312" w:cs="仿宋_GB2312"/>
          <w:sz w:val="32"/>
          <w:szCs w:val="32"/>
          <w:u w:val="none" w:color="auto"/>
          <w:lang w:eastAsia="zh-CN"/>
        </w:rPr>
        <w:t>，</w:t>
      </w:r>
      <w:r>
        <w:rPr>
          <w:rFonts w:hint="eastAsia" w:ascii="Times New Roman" w:hAnsi="Times New Roman" w:eastAsia="仿宋_GB2312" w:cs="仿宋_GB2312"/>
          <w:sz w:val="32"/>
          <w:szCs w:val="32"/>
          <w:u w:val="none" w:color="auto"/>
        </w:rPr>
        <w:t>行政单位的</w:t>
      </w:r>
      <w:r>
        <w:rPr>
          <w:rFonts w:hint="eastAsia" w:ascii="Times New Roman" w:hAnsi="Times New Roman" w:eastAsia="仿宋_GB2312" w:cs="仿宋_GB2312"/>
          <w:sz w:val="32"/>
          <w:szCs w:val="32"/>
          <w:u w:val="none" w:color="auto"/>
          <w:lang w:eastAsia="zh-CN"/>
        </w:rPr>
        <w:t>工勤人员</w:t>
      </w:r>
      <w:r>
        <w:rPr>
          <w:rFonts w:hint="eastAsia" w:ascii="Times New Roman" w:hAnsi="Times New Roman" w:eastAsia="仿宋_GB2312" w:cs="仿宋_GB2312"/>
          <w:sz w:val="32"/>
          <w:szCs w:val="32"/>
          <w:u w:val="none" w:color="auto"/>
        </w:rPr>
        <w:t>按1.8万元/人.年计算。</w:t>
      </w:r>
    </w:p>
    <w:p>
      <w:pPr>
        <w:spacing w:line="360" w:lineRule="auto"/>
        <w:ind w:firstLine="640"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sz w:val="32"/>
          <w:szCs w:val="32"/>
          <w:u w:val="none" w:color="auto"/>
        </w:rPr>
        <w:t>⑥党派社团：2.16万元/人.年。</w:t>
      </w:r>
    </w:p>
    <w:p>
      <w:pPr>
        <w:spacing w:line="600" w:lineRule="exact"/>
        <w:ind w:firstLine="640"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sz w:val="32"/>
          <w:szCs w:val="32"/>
          <w:u w:val="none" w:color="auto"/>
        </w:rPr>
        <w:t>⑦事业单位(不含各类学校及暂不宜采用定员定额标准核定一般商品和服务支出预算控制数的事业单位)：全额事业单位按</w:t>
      </w:r>
      <w:r>
        <w:rPr>
          <w:rFonts w:hint="eastAsia" w:ascii="Times New Roman" w:hAnsi="Times New Roman" w:eastAsia="仿宋_GB2312" w:cs="仿宋_GB2312"/>
          <w:sz w:val="32"/>
          <w:szCs w:val="32"/>
          <w:u w:val="none" w:color="auto"/>
          <w:lang w:val="en-US" w:eastAsia="zh-CN"/>
        </w:rPr>
        <w:t>1</w:t>
      </w:r>
      <w:r>
        <w:rPr>
          <w:rFonts w:hint="eastAsia" w:ascii="Times New Roman" w:hAnsi="Times New Roman" w:eastAsia="仿宋_GB2312" w:cs="仿宋_GB2312"/>
          <w:sz w:val="32"/>
          <w:szCs w:val="32"/>
          <w:u w:val="none" w:color="auto"/>
        </w:rPr>
        <w:t>万元/人.年。</w:t>
      </w:r>
    </w:p>
    <w:p>
      <w:pPr>
        <w:spacing w:line="600" w:lineRule="exact"/>
        <w:ind w:firstLine="640"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sz w:val="32"/>
          <w:szCs w:val="32"/>
          <w:u w:val="none" w:color="auto"/>
        </w:rPr>
        <w:t>⑧各类学校：义务教育学校</w:t>
      </w:r>
      <w:r>
        <w:rPr>
          <w:rFonts w:hint="eastAsia" w:ascii="Times New Roman" w:hAnsi="Times New Roman" w:eastAsia="仿宋_GB2312" w:cs="仿宋_GB2312"/>
          <w:sz w:val="32"/>
          <w:szCs w:val="32"/>
          <w:u w:val="none" w:color="auto"/>
          <w:lang w:eastAsia="zh-CN"/>
        </w:rPr>
        <w:t>、高中学校和学前教育学校</w:t>
      </w:r>
      <w:r>
        <w:rPr>
          <w:rFonts w:hint="eastAsia" w:ascii="Times New Roman" w:hAnsi="Times New Roman" w:eastAsia="仿宋_GB2312" w:cs="仿宋_GB2312"/>
          <w:sz w:val="32"/>
          <w:szCs w:val="32"/>
          <w:u w:val="none" w:color="auto"/>
        </w:rPr>
        <w:t>按上级财政规定的生均标准安排公用经费。其他非义务教育学校统筹安排。</w:t>
      </w:r>
    </w:p>
    <w:p>
      <w:pPr>
        <w:spacing w:line="600" w:lineRule="exact"/>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sz w:val="32"/>
          <w:szCs w:val="32"/>
          <w:u w:val="none" w:color="auto"/>
          <w:lang w:val="en-US" w:eastAsia="zh-CN"/>
        </w:rPr>
        <w:t xml:space="preserve">    </w:t>
      </w:r>
      <w:r>
        <w:rPr>
          <w:rFonts w:hint="eastAsia" w:ascii="Times New Roman" w:hAnsi="Times New Roman" w:eastAsia="仿宋_GB2312" w:cs="仿宋_GB2312"/>
          <w:sz w:val="32"/>
          <w:szCs w:val="32"/>
          <w:u w:val="none" w:color="auto"/>
        </w:rPr>
        <w:t>⑨其他单位，指暂不宜采用定员定额标准核定一般商品和服务支出的单位，暂不安排。包括定额补助及经费自理事业单位等。</w:t>
      </w:r>
    </w:p>
    <w:p>
      <w:pPr>
        <w:spacing w:line="360" w:lineRule="auto"/>
        <w:ind w:firstLine="643" w:firstLineChars="200"/>
        <w:rPr>
          <w:rFonts w:hint="eastAsia" w:ascii="Times New Roman" w:hAnsi="Times New Roman" w:eastAsia="仿宋_GB2312" w:cs="仿宋_GB2312"/>
          <w:b w:val="0"/>
          <w:bCs/>
          <w:sz w:val="32"/>
          <w:szCs w:val="32"/>
          <w:u w:val="none" w:color="auto"/>
        </w:rPr>
      </w:pPr>
      <w:r>
        <w:rPr>
          <w:rFonts w:hint="eastAsia" w:ascii="Times New Roman" w:hAnsi="Times New Roman" w:eastAsia="仿宋_GB2312" w:cs="仿宋_GB2312"/>
          <w:b/>
          <w:sz w:val="32"/>
          <w:szCs w:val="32"/>
          <w:u w:val="none" w:color="auto"/>
        </w:rPr>
        <w:t>（2）</w:t>
      </w:r>
      <w:r>
        <w:rPr>
          <w:rFonts w:hint="eastAsia" w:ascii="Times New Roman" w:hAnsi="Times New Roman" w:eastAsia="仿宋_GB2312" w:cs="仿宋_GB2312"/>
          <w:b/>
          <w:sz w:val="32"/>
          <w:szCs w:val="32"/>
          <w:u w:val="none" w:color="auto"/>
          <w:lang w:eastAsia="zh-CN"/>
        </w:rPr>
        <w:t>公务交通补贴。</w:t>
      </w:r>
      <w:r>
        <w:rPr>
          <w:rFonts w:hint="eastAsia" w:ascii="Times New Roman" w:hAnsi="Times New Roman" w:eastAsia="仿宋_GB2312" w:cs="仿宋_GB2312"/>
          <w:b w:val="0"/>
          <w:bCs/>
          <w:sz w:val="32"/>
          <w:szCs w:val="32"/>
          <w:u w:val="none" w:color="auto"/>
          <w:lang w:eastAsia="zh-CN"/>
        </w:rPr>
        <w:t>根据《邵阳市市直党政机关公务用车制度改革实施方案》规定</w:t>
      </w:r>
      <w:r>
        <w:rPr>
          <w:rFonts w:hint="eastAsia" w:ascii="Times New Roman" w:hAnsi="Times New Roman" w:eastAsia="仿宋_GB2312" w:cs="仿宋_GB2312"/>
          <w:b w:val="0"/>
          <w:bCs/>
          <w:sz w:val="32"/>
          <w:szCs w:val="32"/>
          <w:u w:val="none" w:color="auto"/>
          <w:lang w:val="en-US" w:eastAsia="zh-CN"/>
        </w:rPr>
        <w:t>,市直党政机关按厅级1690元/月、处级1040元/月、科级650元/月、科员及以下人员550元/月的补贴标准安排</w:t>
      </w:r>
      <w:r>
        <w:rPr>
          <w:rFonts w:hint="eastAsia" w:ascii="Times New Roman" w:hAnsi="Times New Roman" w:eastAsia="仿宋_GB2312" w:cs="仿宋_GB2312"/>
          <w:b w:val="0"/>
          <w:bCs/>
          <w:sz w:val="32"/>
          <w:szCs w:val="32"/>
          <w:u w:val="none" w:color="auto"/>
          <w:lang w:eastAsia="zh-CN"/>
        </w:rPr>
        <w:t>。</w:t>
      </w:r>
    </w:p>
    <w:p>
      <w:pPr>
        <w:spacing w:line="600" w:lineRule="exact"/>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w:t>
      </w:r>
      <w:r>
        <w:rPr>
          <w:rFonts w:hint="eastAsia" w:ascii="Times New Roman" w:hAnsi="Times New Roman" w:eastAsia="仿宋_GB2312" w:cs="仿宋_GB2312"/>
          <w:b/>
          <w:sz w:val="32"/>
          <w:szCs w:val="32"/>
          <w:u w:val="none" w:color="auto"/>
          <w:lang w:val="en-US" w:eastAsia="zh-CN"/>
        </w:rPr>
        <w:t>3</w:t>
      </w:r>
      <w:r>
        <w:rPr>
          <w:rFonts w:hint="eastAsia" w:ascii="Times New Roman" w:hAnsi="Times New Roman" w:eastAsia="仿宋_GB2312" w:cs="仿宋_GB2312"/>
          <w:b/>
          <w:sz w:val="32"/>
          <w:szCs w:val="32"/>
          <w:u w:val="none" w:color="auto"/>
        </w:rPr>
        <w:t>）福利费：</w:t>
      </w:r>
      <w:r>
        <w:rPr>
          <w:rFonts w:hint="eastAsia" w:ascii="Times New Roman" w:hAnsi="Times New Roman" w:eastAsia="仿宋_GB2312" w:cs="仿宋_GB2312"/>
          <w:sz w:val="32"/>
          <w:szCs w:val="32"/>
          <w:u w:val="none" w:color="auto"/>
        </w:rPr>
        <w:t>行政单位、事业单位按年基本工资及离退休金之和的3%计算。</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sz w:val="32"/>
          <w:szCs w:val="32"/>
          <w:u w:val="none" w:color="auto"/>
        </w:rPr>
        <w:t>（</w:t>
      </w:r>
      <w:r>
        <w:rPr>
          <w:rFonts w:hint="eastAsia" w:ascii="Times New Roman" w:hAnsi="Times New Roman" w:eastAsia="仿宋_GB2312" w:cs="仿宋_GB2312"/>
          <w:b/>
          <w:sz w:val="32"/>
          <w:szCs w:val="32"/>
          <w:u w:val="none" w:color="auto"/>
          <w:lang w:val="en-US" w:eastAsia="zh-CN"/>
        </w:rPr>
        <w:t>4</w:t>
      </w:r>
      <w:r>
        <w:rPr>
          <w:rFonts w:hint="eastAsia" w:ascii="Times New Roman" w:hAnsi="Times New Roman" w:eastAsia="仿宋_GB2312" w:cs="仿宋_GB2312"/>
          <w:b/>
          <w:sz w:val="32"/>
          <w:szCs w:val="32"/>
          <w:u w:val="none" w:color="auto"/>
        </w:rPr>
        <w:t>）工会经费：</w:t>
      </w:r>
      <w:r>
        <w:rPr>
          <w:rFonts w:hint="eastAsia" w:ascii="Times New Roman" w:hAnsi="Times New Roman" w:eastAsia="仿宋_GB2312" w:cs="仿宋_GB2312"/>
          <w:sz w:val="32"/>
          <w:szCs w:val="32"/>
          <w:u w:val="none" w:color="auto"/>
        </w:rPr>
        <w:t>按在职职工基本工资(不含地方出台的津补贴)的2%安排。</w:t>
      </w:r>
    </w:p>
    <w:p>
      <w:pPr>
        <w:spacing w:line="360" w:lineRule="auto"/>
        <w:ind w:firstLine="640"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sz w:val="32"/>
          <w:szCs w:val="32"/>
          <w:u w:val="none" w:color="auto"/>
        </w:rPr>
        <w:t>差额事业单位的基本支出按照全额事业单位标准的60%安排。</w:t>
      </w:r>
    </w:p>
    <w:p>
      <w:pPr>
        <w:overflowPunct w:val="0"/>
        <w:spacing w:line="580" w:lineRule="exact"/>
        <w:ind w:firstLine="643" w:firstLineChars="200"/>
        <w:rPr>
          <w:rFonts w:hint="eastAsia" w:ascii="Times New Roman" w:hAnsi="Times New Roman" w:eastAsia="楷体_GB2312" w:cs="仿宋_GB2312"/>
          <w:b/>
          <w:kern w:val="0"/>
          <w:sz w:val="32"/>
          <w:szCs w:val="32"/>
          <w:u w:val="none" w:color="auto"/>
        </w:rPr>
      </w:pPr>
      <w:r>
        <w:rPr>
          <w:rFonts w:hint="eastAsia" w:ascii="Times New Roman" w:hAnsi="Times New Roman" w:eastAsia="楷体_GB2312" w:cs="仿宋_GB2312"/>
          <w:b/>
          <w:kern w:val="0"/>
          <w:sz w:val="32"/>
          <w:szCs w:val="32"/>
          <w:u w:val="none" w:color="auto"/>
        </w:rPr>
        <w:t>（四）项目支出预算</w:t>
      </w:r>
    </w:p>
    <w:p>
      <w:pPr>
        <w:spacing w:line="360" w:lineRule="auto"/>
        <w:ind w:firstLine="643" w:firstLineChars="200"/>
        <w:rPr>
          <w:rFonts w:hint="eastAsia" w:ascii="Times New Roman" w:hAnsi="Times New Roman" w:eastAsia="仿宋_GB2312" w:cs="仿宋_GB2312"/>
          <w:b/>
          <w:bCs/>
          <w:sz w:val="32"/>
          <w:szCs w:val="32"/>
          <w:u w:val="none" w:color="auto"/>
        </w:rPr>
      </w:pPr>
      <w:r>
        <w:rPr>
          <w:rFonts w:hint="eastAsia" w:ascii="Times New Roman" w:hAnsi="Times New Roman" w:eastAsia="仿宋_GB2312" w:cs="仿宋_GB2312"/>
          <w:b/>
          <w:bCs/>
          <w:sz w:val="32"/>
          <w:szCs w:val="32"/>
          <w:u w:val="none" w:color="auto"/>
        </w:rPr>
        <w:t>1.专项商品和服务支出。</w:t>
      </w:r>
    </w:p>
    <w:p>
      <w:pPr>
        <w:spacing w:line="360" w:lineRule="auto"/>
        <w:ind w:firstLine="640"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sz w:val="32"/>
          <w:szCs w:val="32"/>
          <w:u w:val="none" w:color="auto"/>
        </w:rPr>
        <w:t>①规范项目资金管理</w:t>
      </w:r>
      <w:r>
        <w:rPr>
          <w:rFonts w:hint="eastAsia" w:ascii="Times New Roman" w:hAnsi="Times New Roman" w:eastAsia="仿宋_GB2312" w:cs="仿宋_GB2312"/>
          <w:sz w:val="32"/>
          <w:szCs w:val="32"/>
          <w:u w:val="none" w:color="auto"/>
          <w:lang w:eastAsia="zh-CN"/>
        </w:rPr>
        <w:t>。</w:t>
      </w:r>
      <w:r>
        <w:rPr>
          <w:rFonts w:hint="eastAsia" w:ascii="Times New Roman" w:hAnsi="Times New Roman" w:eastAsia="仿宋_GB2312" w:cs="仿宋_GB2312"/>
          <w:sz w:val="32"/>
          <w:szCs w:val="32"/>
          <w:u w:val="none" w:color="auto"/>
        </w:rPr>
        <w:t>专项资金的设立必须符合国家有关法律、法规的规定以及公共财政支出的需要，要紧密结合市委市政府的工作重点及本部门事业发展规划。由各主管部门按相关规定申报，经市政府审定，确定专项资金规模。专项资金支出必须严格按规定用途使用，</w:t>
      </w:r>
      <w:r>
        <w:rPr>
          <w:rFonts w:hint="eastAsia" w:ascii="Times New Roman" w:hAnsi="Times New Roman" w:eastAsia="仿宋_GB2312" w:cs="仿宋_GB2312"/>
          <w:color w:val="auto"/>
          <w:sz w:val="32"/>
          <w:szCs w:val="32"/>
          <w:u w:val="none" w:color="auto"/>
        </w:rPr>
        <w:t>严禁将专项资金用于本部门及所属单位的基本支出。</w:t>
      </w:r>
      <w:r>
        <w:rPr>
          <w:rFonts w:hint="eastAsia" w:ascii="Times New Roman" w:hAnsi="Times New Roman" w:eastAsia="仿宋_GB2312" w:cs="仿宋_GB2312"/>
          <w:sz w:val="32"/>
          <w:szCs w:val="32"/>
          <w:u w:val="none" w:color="auto"/>
        </w:rPr>
        <w:t>每个单位原则上安排专项资金不超过两项。</w:t>
      </w:r>
    </w:p>
    <w:p>
      <w:pPr>
        <w:spacing w:line="360" w:lineRule="auto"/>
        <w:ind w:firstLine="640" w:firstLineChars="200"/>
        <w:rPr>
          <w:rFonts w:hint="eastAsia" w:ascii="Times New Roman" w:hAnsi="Times New Roman"/>
        </w:rPr>
      </w:pPr>
      <w:r>
        <w:rPr>
          <w:rFonts w:hint="eastAsia" w:ascii="Times New Roman" w:hAnsi="Times New Roman" w:eastAsia="仿宋_GB2312" w:cs="仿宋_GB2312"/>
          <w:sz w:val="32"/>
          <w:szCs w:val="32"/>
          <w:u w:val="none" w:color="auto"/>
        </w:rPr>
        <w:t>②</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严控新增</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项目</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支出事项。除中央、省以及市委市政府</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已经</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确定的各项民生政策提标扩围，法律法规有明确要求的重点领域支出增长要求外，原则上</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不予</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新增安排。各部门</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如有</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常规性的新增</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支出项目，须经市委市政府审批同意后方可列入预算，且此类项目</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原则上优先通过调整内部支出结构、统筹部门原有资金、同类中央、</w:t>
      </w:r>
      <w:r>
        <w:rPr>
          <w:rFonts w:hint="default" w:ascii="Times New Roman" w:hAnsi="Times New Roman" w:eastAsia="仿宋_GB2312" w:cs="Times New Roman"/>
          <w:b w:val="0"/>
          <w:bCs w:val="0"/>
          <w:color w:val="000000" w:themeColor="text1"/>
          <w:sz w:val="32"/>
          <w:szCs w:val="32"/>
          <w:lang w:val="en-US" w:eastAsia="zh-CN"/>
          <w14:textFill>
            <w14:solidFill>
              <w14:schemeClr w14:val="tx1"/>
            </w14:solidFill>
          </w14:textFill>
        </w:rPr>
        <w:t>省级</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资金或分年度安排等方式解决。</w:t>
      </w:r>
      <w:r>
        <w:rPr>
          <w:rFonts w:hint="default" w:ascii="Times New Roman" w:hAnsi="Times New Roman" w:eastAsia="仿宋_GB2312" w:cs="Times New Roman"/>
          <w:color w:val="000000" w:themeColor="text1"/>
          <w:sz w:val="32"/>
          <w:szCs w:val="32"/>
          <w14:textFill>
            <w14:solidFill>
              <w14:schemeClr w14:val="tx1"/>
            </w14:solidFill>
          </w14:textFill>
        </w:rPr>
        <w:t>取消所有项目支出基数，经常性项目、延续性项目的上年预算安排情况不作为当年预算安排的依据，仅作为当年预算的参考。</w:t>
      </w:r>
    </w:p>
    <w:p>
      <w:pPr>
        <w:spacing w:line="360" w:lineRule="auto"/>
        <w:ind w:firstLine="643" w:firstLineChars="200"/>
        <w:rPr>
          <w:rFonts w:hint="eastAsia" w:ascii="Times New Roman" w:hAnsi="Times New Roman" w:eastAsia="仿宋_GB2312" w:cs="仿宋_GB2312"/>
          <w:b/>
          <w:bCs/>
          <w:sz w:val="32"/>
          <w:szCs w:val="32"/>
          <w:u w:val="none" w:color="auto"/>
        </w:rPr>
      </w:pPr>
      <w:r>
        <w:rPr>
          <w:rFonts w:hint="eastAsia" w:ascii="Times New Roman" w:hAnsi="Times New Roman" w:eastAsia="仿宋_GB2312" w:cs="仿宋_GB2312"/>
          <w:b/>
          <w:bCs/>
          <w:sz w:val="32"/>
          <w:szCs w:val="32"/>
          <w:u w:val="none" w:color="auto"/>
        </w:rPr>
        <w:t>2.债务利息及费用支出。</w:t>
      </w:r>
      <w:r>
        <w:rPr>
          <w:rFonts w:hint="eastAsia" w:ascii="Times New Roman" w:hAnsi="Times New Roman" w:eastAsia="仿宋_GB2312" w:cs="仿宋_GB2312"/>
          <w:sz w:val="32"/>
          <w:szCs w:val="32"/>
          <w:u w:val="none" w:color="auto"/>
        </w:rPr>
        <w:t>反映单位的债务利息及费用支出。含国内债务付息和发行费用，国外债务付息和发行费用。</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bCs/>
          <w:sz w:val="32"/>
          <w:szCs w:val="32"/>
          <w:u w:val="none" w:color="auto"/>
        </w:rPr>
        <w:t>3.资本性支出。</w:t>
      </w:r>
      <w:r>
        <w:rPr>
          <w:rFonts w:hint="eastAsia" w:ascii="Times New Roman" w:hAnsi="Times New Roman" w:eastAsia="仿宋_GB2312" w:cs="仿宋_GB2312"/>
          <w:sz w:val="32"/>
          <w:szCs w:val="32"/>
          <w:u w:val="none" w:color="auto"/>
        </w:rPr>
        <w:t>反映单位的资本性支出。包括房屋建筑屋购建，办公设备购置，专用设备购置，基础设施建设、大型修缮，信息网络及软件购置更新，物资储备、公务用车购置、其他交通工具购置，文物和陈列品购置、无形资产购置、其他资本性支出。</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bCs/>
          <w:sz w:val="32"/>
          <w:szCs w:val="32"/>
          <w:u w:val="none" w:color="auto"/>
        </w:rPr>
        <w:t>4.对企业补助支出。</w:t>
      </w:r>
      <w:r>
        <w:rPr>
          <w:rFonts w:hint="eastAsia" w:ascii="Times New Roman" w:hAnsi="Times New Roman" w:eastAsia="仿宋_GB2312" w:cs="仿宋_GB2312"/>
          <w:sz w:val="32"/>
          <w:szCs w:val="32"/>
          <w:u w:val="none" w:color="auto"/>
        </w:rPr>
        <w:t>反映对各类企业的补助支出。包括其他对企业补助支出。</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bCs/>
          <w:sz w:val="32"/>
          <w:szCs w:val="32"/>
          <w:u w:val="none" w:color="auto"/>
        </w:rPr>
        <w:t>5.对社会保障基金补助。</w:t>
      </w:r>
      <w:r>
        <w:rPr>
          <w:rFonts w:hint="eastAsia" w:ascii="Times New Roman" w:hAnsi="Times New Roman" w:eastAsia="仿宋_GB2312" w:cs="仿宋_GB2312"/>
          <w:sz w:val="32"/>
          <w:szCs w:val="32"/>
          <w:u w:val="none" w:color="auto"/>
        </w:rPr>
        <w:t>反映对社会保险基金的补助支出。包括对社会保险基金补助、补充全国保险基金。</w:t>
      </w:r>
    </w:p>
    <w:p>
      <w:pPr>
        <w:spacing w:line="360" w:lineRule="auto"/>
        <w:ind w:firstLine="643"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b/>
          <w:bCs/>
          <w:sz w:val="32"/>
          <w:szCs w:val="32"/>
          <w:u w:val="none" w:color="auto"/>
        </w:rPr>
        <w:t>6.其他支出。</w:t>
      </w:r>
      <w:r>
        <w:rPr>
          <w:rFonts w:hint="eastAsia" w:ascii="Times New Roman" w:hAnsi="Times New Roman" w:eastAsia="仿宋_GB2312" w:cs="仿宋_GB2312"/>
          <w:sz w:val="32"/>
          <w:szCs w:val="32"/>
          <w:u w:val="none" w:color="auto"/>
        </w:rPr>
        <w:t>反映不能划分到上述经济科目的其他支出。包括国家赔偿费支出、其他支出。</w:t>
      </w:r>
    </w:p>
    <w:p>
      <w:pPr>
        <w:overflowPunct w:val="0"/>
        <w:spacing w:line="580" w:lineRule="exact"/>
        <w:ind w:firstLine="643" w:firstLineChars="200"/>
        <w:rPr>
          <w:rFonts w:hint="eastAsia" w:ascii="Times New Roman" w:hAnsi="Times New Roman" w:eastAsia="楷体_GB2312" w:cs="仿宋_GB2312"/>
          <w:b/>
          <w:kern w:val="0"/>
          <w:sz w:val="32"/>
          <w:szCs w:val="32"/>
          <w:u w:val="none" w:color="auto"/>
          <w:lang w:val="en-US" w:eastAsia="zh-CN"/>
        </w:rPr>
      </w:pPr>
      <w:r>
        <w:rPr>
          <w:rFonts w:hint="eastAsia" w:ascii="Times New Roman" w:hAnsi="Times New Roman" w:eastAsia="楷体_GB2312" w:cs="仿宋_GB2312"/>
          <w:b/>
          <w:kern w:val="0"/>
          <w:sz w:val="32"/>
          <w:szCs w:val="32"/>
          <w:u w:val="none" w:color="auto"/>
          <w:lang w:val="en-US" w:eastAsia="zh-CN"/>
        </w:rPr>
        <w:t>（五）</w:t>
      </w:r>
      <w:r>
        <w:rPr>
          <w:rFonts w:hint="default" w:ascii="Times New Roman" w:hAnsi="Times New Roman" w:eastAsia="楷体_GB2312" w:cs="仿宋_GB2312"/>
          <w:b/>
          <w:kern w:val="0"/>
          <w:sz w:val="32"/>
          <w:szCs w:val="32"/>
          <w:u w:val="none" w:color="auto"/>
          <w:lang w:val="en-US" w:eastAsia="zh-CN"/>
        </w:rPr>
        <w:t>预算绩效目标编制</w:t>
      </w:r>
    </w:p>
    <w:p>
      <w:pPr>
        <w:pStyle w:val="2"/>
        <w:ind w:left="0" w:leftChars="0" w:firstLine="640" w:firstLineChars="200"/>
        <w:rPr>
          <w:rFonts w:hint="eastAsia" w:ascii="Times New Roman" w:hAnsi="Times New Roman" w:eastAsia="仿宋_GB2312" w:cs="Times New Roman"/>
          <w:color w:val="auto"/>
          <w:spacing w:val="-6"/>
          <w:kern w:val="0"/>
          <w:sz w:val="32"/>
          <w:szCs w:val="32"/>
          <w:lang w:val="en-US" w:eastAsia="zh-CN" w:bidi="ar-SA"/>
        </w:rPr>
      </w:pPr>
      <w:r>
        <w:rPr>
          <w:rFonts w:hint="default" w:ascii="Times New Roman" w:hAnsi="Times New Roman" w:eastAsia="仿宋_GB2312" w:cs="Times New Roman"/>
          <w:color w:val="000000"/>
          <w:sz w:val="32"/>
          <w:szCs w:val="32"/>
          <w:lang w:val="en-US" w:eastAsia="zh-CN"/>
        </w:rPr>
        <w:t>一般公共预算、政府性基金预算、国有资本经营预算、社会保险基金预算全部纳入绩效目标管理；涉及预算资金及相关管理活动的政府性基金、政府和社会资本合作（PPP）、政府采购、政府购买服务、政府债务项目等纳入绩效管理并编制绩效目标。所有部门整体支出和一般公共预算安排的项目（含科室代编预算资金、追加预算资金）都要申报绩效目标</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绩效目标</w:t>
      </w:r>
      <w:r>
        <w:rPr>
          <w:rFonts w:hint="eastAsia" w:ascii="Times New Roman" w:hAnsi="Times New Roman" w:eastAsia="仿宋_GB2312" w:cs="Times New Roman"/>
          <w:color w:val="000000"/>
          <w:sz w:val="32"/>
          <w:szCs w:val="32"/>
          <w:lang w:val="en-US" w:eastAsia="zh-CN"/>
        </w:rPr>
        <w:t>填报</w:t>
      </w:r>
      <w:r>
        <w:rPr>
          <w:rFonts w:hint="default" w:ascii="Times New Roman" w:hAnsi="Times New Roman" w:eastAsia="仿宋_GB2312" w:cs="Times New Roman"/>
          <w:color w:val="000000"/>
          <w:sz w:val="32"/>
          <w:szCs w:val="32"/>
          <w:lang w:val="en-US" w:eastAsia="zh-CN"/>
        </w:rPr>
        <w:t>要做到指向明确、细化量化、合理可行、相应匹配，客观</w:t>
      </w:r>
      <w:r>
        <w:rPr>
          <w:rFonts w:hint="eastAsia" w:ascii="Times New Roman" w:hAnsi="Times New Roman" w:eastAsia="仿宋_GB2312" w:cs="Times New Roman"/>
          <w:color w:val="000000"/>
          <w:sz w:val="32"/>
          <w:szCs w:val="32"/>
          <w:lang w:val="en-US" w:eastAsia="zh-CN"/>
        </w:rPr>
        <w:t>真实</w:t>
      </w:r>
      <w:r>
        <w:rPr>
          <w:rFonts w:hint="default" w:ascii="Times New Roman" w:hAnsi="Times New Roman" w:eastAsia="仿宋_GB2312" w:cs="Times New Roman"/>
          <w:color w:val="000000"/>
          <w:sz w:val="32"/>
          <w:szCs w:val="32"/>
          <w:lang w:val="en-US" w:eastAsia="zh-CN"/>
        </w:rPr>
        <w:t>地反映预算支出的产出和效益。按照“管资金必须管绩效”、“谁分配资金，谁审核目标”的原则，市财政局各业务科室全程参与绩效目标的编制、审核、汇总、批复等工作</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绩效目标审核不通过的，不予安排预算资金。绩效目标与预算编制一同布置、一同编制、一同审核、一同批复、一同公开，绩效目标随部门预算统一提交市人民代表大会审查。</w:t>
      </w:r>
    </w:p>
    <w:p>
      <w:pPr>
        <w:overflowPunct w:val="0"/>
        <w:spacing w:line="580" w:lineRule="exact"/>
        <w:ind w:firstLine="643" w:firstLineChars="200"/>
        <w:rPr>
          <w:rFonts w:hint="default" w:ascii="Times New Roman" w:hAnsi="Times New Roman" w:eastAsia="楷体_GB2312" w:cs="仿宋_GB2312"/>
          <w:b/>
          <w:kern w:val="0"/>
          <w:sz w:val="32"/>
          <w:szCs w:val="32"/>
          <w:u w:val="none" w:color="auto"/>
          <w:lang w:val="en-US" w:eastAsia="zh-CN"/>
        </w:rPr>
      </w:pPr>
      <w:r>
        <w:rPr>
          <w:rFonts w:hint="eastAsia" w:ascii="Times New Roman" w:hAnsi="Times New Roman" w:eastAsia="楷体_GB2312" w:cs="仿宋_GB2312"/>
          <w:b/>
          <w:kern w:val="0"/>
          <w:sz w:val="32"/>
          <w:szCs w:val="32"/>
          <w:u w:val="none" w:color="auto"/>
          <w:lang w:val="en-US" w:eastAsia="zh-CN"/>
        </w:rPr>
        <w:t>（六）</w:t>
      </w:r>
      <w:r>
        <w:rPr>
          <w:rFonts w:hint="default" w:ascii="Times New Roman" w:hAnsi="Times New Roman" w:eastAsia="楷体_GB2312" w:cs="仿宋_GB2312"/>
          <w:b/>
          <w:kern w:val="0"/>
          <w:sz w:val="32"/>
          <w:szCs w:val="32"/>
          <w:u w:val="none" w:color="auto"/>
          <w:lang w:val="en-US" w:eastAsia="zh-CN"/>
        </w:rPr>
        <w:t>政府采购预算</w:t>
      </w:r>
    </w:p>
    <w:p>
      <w:pPr>
        <w:pStyle w:val="2"/>
        <w:ind w:left="0" w:leftChars="0" w:firstLine="616" w:firstLineChars="200"/>
        <w:rPr>
          <w:rFonts w:hint="eastAsia" w:ascii="Times New Roman" w:hAnsi="Times New Roman" w:eastAsia="仿宋_GB2312" w:cs="Times New Roman"/>
          <w:color w:val="auto"/>
          <w:spacing w:val="-6"/>
          <w:kern w:val="0"/>
          <w:sz w:val="32"/>
          <w:szCs w:val="32"/>
          <w:lang w:val="en-US" w:eastAsia="zh-CN" w:bidi="ar-SA"/>
        </w:rPr>
      </w:pPr>
      <w:r>
        <w:rPr>
          <w:rFonts w:hint="default" w:ascii="Times New Roman" w:hAnsi="Times New Roman" w:eastAsia="仿宋_GB2312" w:cs="Times New Roman"/>
          <w:color w:val="auto"/>
          <w:spacing w:val="-6"/>
          <w:kern w:val="0"/>
          <w:sz w:val="32"/>
          <w:szCs w:val="32"/>
          <w:lang w:eastAsia="zh-CN"/>
        </w:rPr>
        <w:t>各部门单位应按照部门预算、政府集中采购目录和采购限额标准编制政府采购预算，做到应编尽编。要加强采购活动的计划性，</w:t>
      </w:r>
      <w:r>
        <w:rPr>
          <w:rFonts w:hint="default" w:ascii="Times New Roman" w:hAnsi="Times New Roman" w:eastAsia="仿宋_GB2312" w:cs="Times New Roman"/>
          <w:color w:val="auto"/>
          <w:spacing w:val="-6"/>
          <w:kern w:val="0"/>
          <w:sz w:val="32"/>
          <w:szCs w:val="32"/>
          <w:lang w:val="en-US" w:eastAsia="zh-CN" w:bidi="ar-SA"/>
        </w:rPr>
        <w:t>按照《湖南省政府采购意向公开工作方案》（湘财购〔2020〕18号）的要求及时、全面公开采购意向，提升政府采购透明度，优化营商环境。各部门、单位要加强采购需求管理，建立健全内部控制制度，切实履行好政府采购主体责任。</w:t>
      </w:r>
    </w:p>
    <w:p>
      <w:pPr>
        <w:overflowPunct w:val="0"/>
        <w:spacing w:line="580" w:lineRule="exact"/>
        <w:ind w:firstLine="643" w:firstLineChars="200"/>
        <w:rPr>
          <w:rFonts w:hint="default" w:ascii="Times New Roman" w:hAnsi="Times New Roman" w:eastAsia="楷体_GB2312" w:cs="仿宋_GB2312"/>
          <w:b/>
          <w:kern w:val="0"/>
          <w:sz w:val="32"/>
          <w:szCs w:val="32"/>
          <w:u w:val="none" w:color="auto"/>
          <w:lang w:val="en-US" w:eastAsia="zh-CN"/>
        </w:rPr>
      </w:pPr>
      <w:r>
        <w:rPr>
          <w:rFonts w:hint="eastAsia" w:ascii="Times New Roman" w:hAnsi="Times New Roman" w:eastAsia="楷体_GB2312" w:cs="仿宋_GB2312"/>
          <w:b/>
          <w:kern w:val="0"/>
          <w:sz w:val="32"/>
          <w:szCs w:val="32"/>
          <w:u w:val="none" w:color="auto"/>
          <w:lang w:val="en-US" w:eastAsia="zh-CN"/>
        </w:rPr>
        <w:t>（七）</w:t>
      </w:r>
      <w:r>
        <w:rPr>
          <w:rFonts w:hint="default" w:ascii="Times New Roman" w:hAnsi="Times New Roman" w:eastAsia="楷体_GB2312" w:cs="仿宋_GB2312"/>
          <w:b/>
          <w:kern w:val="0"/>
          <w:sz w:val="32"/>
          <w:szCs w:val="32"/>
          <w:u w:val="none" w:color="auto"/>
          <w:lang w:val="en-US" w:eastAsia="zh-CN"/>
        </w:rPr>
        <w:t>政府购买服务预算</w:t>
      </w:r>
    </w:p>
    <w:p>
      <w:pPr>
        <w:pStyle w:val="2"/>
        <w:ind w:left="0" w:leftChars="0" w:firstLine="640" w:firstLineChars="200"/>
        <w:rPr>
          <w:rFonts w:hint="eastAsia" w:ascii="Times New Roman" w:hAnsi="Times New Roman" w:eastAsia="仿宋_GB2312" w:cs="Times New Roman"/>
          <w:color w:val="auto"/>
          <w:spacing w:val="-6"/>
          <w:kern w:val="0"/>
          <w:sz w:val="32"/>
          <w:szCs w:val="32"/>
          <w:lang w:val="en-US" w:eastAsia="zh-CN" w:bidi="ar-SA"/>
        </w:rPr>
      </w:pPr>
      <w:r>
        <w:rPr>
          <w:rFonts w:hint="eastAsia" w:ascii="Times New Roman" w:hAnsi="Times New Roman" w:eastAsia="仿宋_GB2312" w:cs="Times New Roman"/>
          <w:color w:val="auto"/>
          <w:sz w:val="32"/>
          <w:szCs w:val="32"/>
          <w:lang w:eastAsia="zh-CN"/>
        </w:rPr>
        <w:t>事业单位和纳入事业编制管理且经费完全或主要由财政保障的群团组织</w:t>
      </w:r>
      <w:r>
        <w:rPr>
          <w:rFonts w:hint="default" w:ascii="Times New Roman" w:hAnsi="Times New Roman" w:eastAsia="仿宋_GB2312" w:cs="Times New Roman"/>
          <w:color w:val="auto"/>
          <w:sz w:val="32"/>
          <w:szCs w:val="32"/>
        </w:rPr>
        <w:t>不</w:t>
      </w:r>
      <w:r>
        <w:rPr>
          <w:rFonts w:hint="eastAsia" w:ascii="Times New Roman" w:hAnsi="Times New Roman" w:eastAsia="仿宋_GB2312" w:cs="Times New Roman"/>
          <w:color w:val="auto"/>
          <w:sz w:val="32"/>
          <w:szCs w:val="32"/>
          <w:lang w:eastAsia="zh-CN"/>
        </w:rPr>
        <w:t>得</w:t>
      </w:r>
      <w:r>
        <w:rPr>
          <w:rFonts w:hint="default" w:ascii="Times New Roman" w:hAnsi="Times New Roman" w:eastAsia="仿宋_GB2312" w:cs="Times New Roman"/>
          <w:color w:val="auto"/>
          <w:sz w:val="32"/>
          <w:szCs w:val="32"/>
        </w:rPr>
        <w:t>编制政府购买服务项目预算</w:t>
      </w:r>
      <w:r>
        <w:rPr>
          <w:rFonts w:hint="default" w:ascii="Times New Roman" w:hAnsi="Times New Roman" w:eastAsia="仿宋_GB2312" w:cs="Times New Roman"/>
          <w:color w:val="auto"/>
          <w:sz w:val="32"/>
          <w:szCs w:val="32"/>
          <w:lang w:val="en-US" w:eastAsia="zh-CN"/>
        </w:rPr>
        <w:t>。先有预算，后购买服务，政府购买服务预算项目内容应严格限制在适合采取市场化方式提供、社会力量能够承担且属于本部门政府购买服务指导性目录范围的服务事项，项目</w:t>
      </w:r>
      <w:r>
        <w:rPr>
          <w:rFonts w:hint="default" w:ascii="Times New Roman" w:hAnsi="Times New Roman" w:eastAsia="仿宋_GB2312" w:cs="Times New Roman"/>
          <w:color w:val="auto"/>
          <w:sz w:val="32"/>
          <w:szCs w:val="32"/>
        </w:rPr>
        <w:t>申报</w:t>
      </w:r>
      <w:r>
        <w:rPr>
          <w:rFonts w:hint="default" w:ascii="Times New Roman" w:hAnsi="Times New Roman" w:eastAsia="仿宋_GB2312" w:cs="Times New Roman"/>
          <w:color w:val="auto"/>
          <w:sz w:val="32"/>
          <w:szCs w:val="32"/>
          <w:lang w:eastAsia="zh-CN"/>
        </w:rPr>
        <w:t>审核</w:t>
      </w:r>
      <w:r>
        <w:rPr>
          <w:rFonts w:hint="default" w:ascii="Times New Roman" w:hAnsi="Times New Roman" w:eastAsia="仿宋_GB2312" w:cs="Times New Roman"/>
          <w:color w:val="auto"/>
          <w:sz w:val="32"/>
          <w:szCs w:val="32"/>
        </w:rPr>
        <w:t>及合同支付流程在政府购买服务项目管理系统中完成</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并加强履约管理。严禁将应当由政府直接履职的事项外包，严禁借政府购买服务名义变相用工或举</w:t>
      </w:r>
      <w:r>
        <w:rPr>
          <w:rFonts w:hint="default" w:ascii="Times New Roman" w:hAnsi="Times New Roman" w:eastAsia="仿宋_GB2312" w:cs="Times New Roman"/>
          <w:color w:val="auto"/>
          <w:spacing w:val="-6"/>
          <w:sz w:val="32"/>
          <w:szCs w:val="32"/>
          <w:lang w:val="en-US" w:eastAsia="zh-CN"/>
        </w:rPr>
        <w:t>债融资，工程、工程和服务打包事项不得作为政府购买服务项目。</w:t>
      </w:r>
    </w:p>
    <w:p>
      <w:pPr>
        <w:overflowPunct w:val="0"/>
        <w:spacing w:line="580" w:lineRule="exact"/>
        <w:ind w:firstLine="643" w:firstLineChars="200"/>
        <w:rPr>
          <w:rFonts w:hint="eastAsia" w:ascii="Times New Roman" w:hAnsi="Times New Roman" w:eastAsia="楷体_GB2312" w:cs="仿宋_GB2312"/>
          <w:b/>
          <w:kern w:val="0"/>
          <w:sz w:val="32"/>
          <w:szCs w:val="32"/>
          <w:u w:val="none" w:color="auto"/>
          <w:lang w:val="en-US" w:eastAsia="zh-CN"/>
        </w:rPr>
      </w:pPr>
      <w:r>
        <w:rPr>
          <w:rFonts w:hint="eastAsia" w:ascii="Times New Roman" w:hAnsi="Times New Roman" w:eastAsia="楷体_GB2312" w:cs="仿宋_GB2312"/>
          <w:b/>
          <w:kern w:val="0"/>
          <w:sz w:val="32"/>
          <w:szCs w:val="32"/>
          <w:u w:val="none" w:color="auto"/>
          <w:lang w:val="en-US" w:eastAsia="zh-CN"/>
        </w:rPr>
        <w:t>（八）</w:t>
      </w:r>
      <w:r>
        <w:rPr>
          <w:rFonts w:hint="default" w:ascii="Times New Roman" w:hAnsi="Times New Roman" w:eastAsia="楷体_GB2312" w:cs="仿宋_GB2312"/>
          <w:b/>
          <w:kern w:val="0"/>
          <w:sz w:val="32"/>
          <w:szCs w:val="32"/>
          <w:u w:val="none" w:color="auto"/>
          <w:lang w:val="en-US" w:eastAsia="zh-CN"/>
        </w:rPr>
        <w:t>新增资产配置预算</w:t>
      </w:r>
    </w:p>
    <w:p>
      <w:pPr>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val="0"/>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color w:val="000000"/>
          <w:spacing w:val="-6"/>
          <w:sz w:val="32"/>
          <w:szCs w:val="32"/>
        </w:rPr>
      </w:pPr>
      <w:r>
        <w:rPr>
          <w:rFonts w:hint="eastAsia" w:ascii="Times New Roman" w:hAnsi="Times New Roman" w:eastAsia="仿宋_GB2312" w:cs="仿宋_GB2312"/>
          <w:b/>
          <w:bCs/>
          <w:sz w:val="32"/>
          <w:szCs w:val="32"/>
          <w:u w:val="none" w:color="auto"/>
          <w:lang w:val="en-US" w:eastAsia="zh-CN"/>
        </w:rPr>
        <w:t xml:space="preserve">1. </w:t>
      </w:r>
      <w:r>
        <w:rPr>
          <w:rFonts w:hint="default" w:ascii="Times New Roman" w:hAnsi="Times New Roman" w:eastAsia="仿宋_GB2312" w:cs="Times New Roman"/>
          <w:color w:val="000000"/>
          <w:sz w:val="32"/>
          <w:szCs w:val="32"/>
        </w:rPr>
        <w:t>所有使用部门预算资金配置新增资产的，必须编制新增资产配置预算。各部门要结合单位履职需要、存量资产状况和财力情况，按照勤俭办事业的原则配置资产。</w:t>
      </w:r>
      <w:r>
        <w:rPr>
          <w:rFonts w:hint="default" w:ascii="Times New Roman" w:hAnsi="Times New Roman" w:eastAsia="仿宋_GB2312" w:cs="Times New Roman"/>
          <w:sz w:val="32"/>
          <w:szCs w:val="32"/>
        </w:rPr>
        <w:t>其中，已有配置标准的</w:t>
      </w:r>
      <w:r>
        <w:rPr>
          <w:rFonts w:hint="default" w:ascii="Times New Roman" w:hAnsi="Times New Roman" w:eastAsia="仿宋_GB2312" w:cs="Times New Roman"/>
          <w:color w:val="000000"/>
          <w:sz w:val="32"/>
          <w:szCs w:val="32"/>
        </w:rPr>
        <w:t>通用办公设备、家具等，严格执行限额标准</w:t>
      </w:r>
      <w:r>
        <w:rPr>
          <w:rFonts w:hint="default" w:ascii="Times New Roman" w:hAnsi="Times New Roman" w:eastAsia="仿宋_GB2312" w:cs="Times New Roman"/>
          <w:sz w:val="32"/>
          <w:szCs w:val="32"/>
        </w:rPr>
        <w:t>，不</w:t>
      </w:r>
      <w:r>
        <w:rPr>
          <w:rFonts w:hint="default" w:ascii="Times New Roman" w:hAnsi="Times New Roman" w:eastAsia="仿宋_GB2312" w:cs="Times New Roman"/>
          <w:kern w:val="0"/>
          <w:sz w:val="32"/>
          <w:szCs w:val="32"/>
        </w:rPr>
        <w:t>得超预算、</w:t>
      </w:r>
      <w:r>
        <w:rPr>
          <w:rFonts w:hint="default" w:ascii="Times New Roman" w:hAnsi="Times New Roman" w:eastAsia="仿宋_GB2312" w:cs="Times New Roman"/>
          <w:spacing w:val="-6"/>
          <w:kern w:val="0"/>
          <w:sz w:val="32"/>
          <w:szCs w:val="32"/>
        </w:rPr>
        <w:t>超标准配置</w:t>
      </w:r>
      <w:r>
        <w:rPr>
          <w:rFonts w:hint="default" w:ascii="Times New Roman" w:hAnsi="Times New Roman" w:eastAsia="仿宋_GB2312" w:cs="Times New Roman"/>
          <w:spacing w:val="-6"/>
          <w:sz w:val="32"/>
          <w:szCs w:val="32"/>
        </w:rPr>
        <w:t>；没有配置标准的，结合本单位实际情况和存量资金状况，采取调剂、租赁、购置等方式配置，</w:t>
      </w:r>
      <w:r>
        <w:rPr>
          <w:rFonts w:hint="default" w:ascii="Times New Roman" w:hAnsi="Times New Roman" w:eastAsia="仿宋_GB2312" w:cs="Times New Roman"/>
          <w:color w:val="000000"/>
          <w:spacing w:val="-6"/>
          <w:sz w:val="32"/>
          <w:szCs w:val="32"/>
        </w:rPr>
        <w:t>厉行节约、反对浪费。准确完整填报相关存量资产信息，加强资产管理内部控制。建立资产调剂制度，有效盘活低效运作或长期闲置的存量资产。</w:t>
      </w:r>
    </w:p>
    <w:p>
      <w:pPr>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val="0"/>
        <w:topLinePunct w:val="0"/>
        <w:autoSpaceDE/>
        <w:autoSpaceDN/>
        <w:bidi w:val="0"/>
        <w:adjustRightInd/>
        <w:snapToGrid/>
        <w:spacing w:line="600" w:lineRule="exact"/>
        <w:ind w:firstLine="643"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仿宋_GB2312"/>
          <w:b/>
          <w:bCs/>
          <w:sz w:val="32"/>
          <w:szCs w:val="32"/>
          <w:u w:val="none" w:color="auto"/>
          <w:lang w:val="en-US" w:eastAsia="zh-CN"/>
        </w:rPr>
        <w:t xml:space="preserve">2. </w:t>
      </w:r>
      <w:r>
        <w:rPr>
          <w:rFonts w:hint="eastAsia" w:ascii="Times New Roman" w:hAnsi="Times New Roman" w:eastAsia="仿宋_GB2312" w:cs="Times New Roman"/>
          <w:color w:val="000000"/>
          <w:sz w:val="32"/>
          <w:szCs w:val="32"/>
          <w:lang w:val="en-US" w:eastAsia="zh-CN"/>
        </w:rPr>
        <w:t>按照“坚持勤俭办一切事业”的要求，公车更新购置原则上应满足拟处置车辆使用满8 年和行驶里程超过 25 万公里两个条件。达到以上两个条件仍能继续使用的车辆，应当继续使用。因车况差、维修成本高、存在安全隐患，不宜继续使用的车辆，纳入更新计划；因安全等原因需提前处置更新的车辆，应提供车辆车况相关证明材料，严格履行审批手续。</w:t>
      </w:r>
    </w:p>
    <w:p>
      <w:pPr>
        <w:pStyle w:val="2"/>
        <w:ind w:left="0" w:leftChars="0" w:firstLine="643" w:firstLineChars="200"/>
        <w:rPr>
          <w:rFonts w:hint="eastAsia" w:ascii="Times New Roman" w:hAnsi="Times New Roman" w:eastAsia="仿宋_GB2312" w:cs="Times New Roman"/>
          <w:color w:val="auto"/>
          <w:spacing w:val="-6"/>
          <w:kern w:val="0"/>
          <w:sz w:val="32"/>
          <w:szCs w:val="32"/>
          <w:lang w:val="en-US" w:eastAsia="zh-CN" w:bidi="ar-SA"/>
        </w:rPr>
      </w:pPr>
      <w:r>
        <w:rPr>
          <w:rFonts w:hint="eastAsia" w:ascii="Times New Roman" w:hAnsi="Times New Roman" w:eastAsia="仿宋_GB2312" w:cs="仿宋_GB2312"/>
          <w:b/>
          <w:bCs/>
          <w:sz w:val="32"/>
          <w:szCs w:val="32"/>
          <w:u w:val="none" w:color="auto"/>
          <w:lang w:val="en-US" w:eastAsia="zh-CN"/>
        </w:rPr>
        <w:t xml:space="preserve">3. </w:t>
      </w:r>
      <w:r>
        <w:rPr>
          <w:rFonts w:hint="eastAsia" w:ascii="Times New Roman" w:hAnsi="Times New Roman" w:eastAsia="仿宋_GB2312" w:cs="Times New Roman"/>
          <w:color w:val="000000"/>
          <w:sz w:val="32"/>
          <w:szCs w:val="32"/>
          <w:lang w:val="en-US" w:eastAsia="zh-CN"/>
        </w:rPr>
        <w:t>更新购置车辆须为编制内的在编车辆，不得超编申报购置计划。单位公车年度更新数量原则上不得超过现有车辆10%，单位现有公车数少于 10 辆的，原则上年度更新不超过1辆。</w:t>
      </w:r>
    </w:p>
    <w:p>
      <w:pPr>
        <w:overflowPunct w:val="0"/>
        <w:spacing w:line="580" w:lineRule="exact"/>
        <w:ind w:firstLine="643" w:firstLineChars="200"/>
        <w:rPr>
          <w:rFonts w:hint="eastAsia" w:ascii="Times New Roman" w:hAnsi="Times New Roman" w:eastAsia="黑体" w:cs="黑体"/>
          <w:b/>
          <w:kern w:val="0"/>
          <w:sz w:val="32"/>
          <w:szCs w:val="32"/>
          <w:u w:val="none" w:color="auto"/>
        </w:rPr>
      </w:pPr>
      <w:r>
        <w:rPr>
          <w:rFonts w:hint="eastAsia" w:ascii="Times New Roman" w:hAnsi="Times New Roman" w:eastAsia="黑体" w:cs="黑体"/>
          <w:b/>
          <w:kern w:val="0"/>
          <w:sz w:val="32"/>
          <w:szCs w:val="32"/>
          <w:u w:val="none" w:color="auto"/>
          <w:lang w:eastAsia="zh-CN"/>
        </w:rPr>
        <w:t>三</w:t>
      </w:r>
      <w:r>
        <w:rPr>
          <w:rFonts w:hint="eastAsia" w:ascii="Times New Roman" w:hAnsi="Times New Roman" w:eastAsia="黑体" w:cs="黑体"/>
          <w:b/>
          <w:kern w:val="0"/>
          <w:sz w:val="32"/>
          <w:szCs w:val="32"/>
          <w:u w:val="none" w:color="auto"/>
        </w:rPr>
        <w:t>、编制流程</w:t>
      </w:r>
    </w:p>
    <w:p>
      <w:pPr>
        <w:overflowPunct w:val="0"/>
        <w:spacing w:line="600" w:lineRule="exact"/>
        <w:ind w:firstLine="640" w:firstLineChars="200"/>
        <w:rPr>
          <w:rFonts w:hint="eastAsia" w:ascii="Times New Roman" w:hAnsi="Times New Roman" w:eastAsia="仿宋_GB2312" w:cs="仿宋_GB2312"/>
          <w:sz w:val="32"/>
          <w:szCs w:val="32"/>
          <w:u w:val="none" w:color="auto"/>
        </w:rPr>
      </w:pPr>
      <w:r>
        <w:rPr>
          <w:rFonts w:hint="eastAsia" w:ascii="Times New Roman" w:hAnsi="Times New Roman" w:eastAsia="仿宋_GB2312" w:cs="仿宋_GB2312"/>
          <w:sz w:val="32"/>
          <w:szCs w:val="32"/>
          <w:u w:val="none" w:color="auto"/>
        </w:rPr>
        <w:t>202</w:t>
      </w:r>
      <w:r>
        <w:rPr>
          <w:rFonts w:hint="eastAsia" w:ascii="Times New Roman" w:hAnsi="Times New Roman" w:eastAsia="仿宋_GB2312" w:cs="仿宋_GB2312"/>
          <w:sz w:val="32"/>
          <w:szCs w:val="32"/>
          <w:u w:val="none" w:color="auto"/>
          <w:lang w:val="en-US" w:eastAsia="zh-CN"/>
        </w:rPr>
        <w:t>4</w:t>
      </w:r>
      <w:r>
        <w:rPr>
          <w:rFonts w:hint="eastAsia" w:ascii="Times New Roman" w:hAnsi="Times New Roman" w:eastAsia="仿宋_GB2312" w:cs="仿宋_GB2312"/>
          <w:sz w:val="32"/>
          <w:szCs w:val="32"/>
          <w:u w:val="none" w:color="auto"/>
        </w:rPr>
        <w:t>年部门预算采取“两上两下”的编制程序，具体工作和流程和时间安排如下：</w:t>
      </w:r>
    </w:p>
    <w:p>
      <w:pPr>
        <w:spacing w:line="360" w:lineRule="auto"/>
        <w:ind w:firstLine="643" w:firstLineChars="200"/>
        <w:rPr>
          <w:rFonts w:hint="eastAsia" w:ascii="Times New Roman" w:hAnsi="Times New Roman" w:eastAsia="楷体_GB2312" w:cs="仿宋_GB2312"/>
          <w:sz w:val="32"/>
          <w:szCs w:val="32"/>
          <w:u w:val="none" w:color="auto"/>
        </w:rPr>
      </w:pPr>
      <w:r>
        <w:rPr>
          <w:rFonts w:hint="eastAsia" w:ascii="Times New Roman" w:hAnsi="Times New Roman" w:eastAsia="楷体_GB2312" w:cs="仿宋_GB2312"/>
          <w:b/>
          <w:bCs/>
          <w:sz w:val="32"/>
          <w:szCs w:val="32"/>
          <w:u w:val="none" w:color="auto"/>
        </w:rPr>
        <w:t>（一）“一上”阶段（202</w:t>
      </w:r>
      <w:r>
        <w:rPr>
          <w:rFonts w:hint="eastAsia" w:ascii="Times New Roman" w:hAnsi="Times New Roman" w:eastAsia="楷体_GB2312" w:cs="仿宋_GB2312"/>
          <w:b/>
          <w:bCs/>
          <w:sz w:val="32"/>
          <w:szCs w:val="32"/>
          <w:u w:val="none" w:color="auto"/>
          <w:lang w:val="en-US" w:eastAsia="zh-CN"/>
        </w:rPr>
        <w:t>3</w:t>
      </w:r>
      <w:r>
        <w:rPr>
          <w:rFonts w:hint="eastAsia" w:ascii="Times New Roman" w:hAnsi="Times New Roman" w:eastAsia="楷体_GB2312" w:cs="仿宋_GB2312"/>
          <w:b/>
          <w:bCs/>
          <w:sz w:val="32"/>
          <w:szCs w:val="32"/>
          <w:u w:val="none" w:color="auto"/>
        </w:rPr>
        <w:t>年</w:t>
      </w:r>
      <w:r>
        <w:rPr>
          <w:rFonts w:hint="eastAsia" w:ascii="Times New Roman" w:hAnsi="Times New Roman" w:eastAsia="楷体_GB2312" w:cs="仿宋_GB2312"/>
          <w:b/>
          <w:bCs/>
          <w:sz w:val="32"/>
          <w:szCs w:val="32"/>
          <w:u w:val="none" w:color="auto"/>
          <w:lang w:val="en-US" w:eastAsia="zh-CN"/>
        </w:rPr>
        <w:t>11</w:t>
      </w:r>
      <w:r>
        <w:rPr>
          <w:rFonts w:hint="eastAsia" w:ascii="Times New Roman" w:hAnsi="Times New Roman" w:eastAsia="楷体_GB2312" w:cs="仿宋_GB2312"/>
          <w:b/>
          <w:bCs/>
          <w:sz w:val="32"/>
          <w:szCs w:val="32"/>
          <w:u w:val="none" w:color="auto"/>
        </w:rPr>
        <w:t>月</w:t>
      </w:r>
      <w:r>
        <w:rPr>
          <w:rFonts w:hint="eastAsia" w:ascii="Times New Roman" w:hAnsi="Times New Roman" w:eastAsia="楷体_GB2312" w:cs="仿宋_GB2312"/>
          <w:b/>
          <w:bCs/>
          <w:sz w:val="32"/>
          <w:szCs w:val="32"/>
          <w:u w:val="none" w:color="auto"/>
          <w:lang w:eastAsia="zh-CN"/>
        </w:rPr>
        <w:t>上</w:t>
      </w:r>
      <w:r>
        <w:rPr>
          <w:rFonts w:hint="eastAsia" w:ascii="Times New Roman" w:hAnsi="Times New Roman" w:eastAsia="楷体_GB2312" w:cs="仿宋_GB2312"/>
          <w:b/>
          <w:bCs/>
          <w:sz w:val="32"/>
          <w:szCs w:val="32"/>
          <w:u w:val="none" w:color="auto"/>
        </w:rPr>
        <w:t>旬）</w:t>
      </w:r>
    </w:p>
    <w:p>
      <w:pPr>
        <w:overflowPunct w:val="0"/>
        <w:spacing w:line="600" w:lineRule="exact"/>
        <w:ind w:firstLine="640" w:firstLineChars="200"/>
        <w:rPr>
          <w:rFonts w:hint="default" w:ascii="Times New Roman" w:hAnsi="Times New Roman" w:eastAsia="仿宋_GB2312" w:cs="仿宋_GB2312"/>
          <w:sz w:val="32"/>
          <w:szCs w:val="32"/>
          <w:u w:val="none" w:color="auto"/>
          <w:lang w:val="en-US"/>
        </w:rPr>
      </w:pPr>
      <w:r>
        <w:rPr>
          <w:rFonts w:hint="eastAsia" w:ascii="Times New Roman" w:hAnsi="Times New Roman" w:eastAsia="仿宋_GB2312" w:cs="仿宋_GB2312"/>
          <w:sz w:val="32"/>
          <w:szCs w:val="32"/>
          <w:u w:val="none" w:color="auto"/>
          <w:lang w:eastAsia="zh-CN"/>
        </w:rPr>
        <w:t>各部门</w:t>
      </w:r>
      <w:r>
        <w:rPr>
          <w:rFonts w:hint="eastAsia" w:ascii="Times New Roman" w:hAnsi="Times New Roman" w:eastAsia="仿宋_GB2312" w:cs="仿宋_GB2312"/>
          <w:sz w:val="32"/>
          <w:szCs w:val="32"/>
          <w:u w:val="none" w:color="auto"/>
        </w:rPr>
        <w:t>单位上报预算方案。部门预算单位</w:t>
      </w:r>
      <w:r>
        <w:rPr>
          <w:rFonts w:hint="eastAsia" w:ascii="Times New Roman" w:hAnsi="Times New Roman" w:eastAsia="仿宋_GB2312" w:cs="仿宋_GB2312"/>
          <w:sz w:val="32"/>
          <w:szCs w:val="32"/>
          <w:u w:val="none" w:color="auto"/>
          <w:lang w:eastAsia="zh-CN"/>
        </w:rPr>
        <w:t>填报单位信息、</w:t>
      </w:r>
      <w:r>
        <w:rPr>
          <w:rFonts w:hint="eastAsia" w:ascii="Times New Roman" w:hAnsi="Times New Roman" w:eastAsia="仿宋_GB2312" w:cs="仿宋_GB2312"/>
          <w:sz w:val="32"/>
          <w:szCs w:val="32"/>
          <w:u w:val="none" w:color="auto"/>
        </w:rPr>
        <w:t>人员工资、资产等基础数据，在</w:t>
      </w:r>
      <w:r>
        <w:rPr>
          <w:rFonts w:hint="eastAsia" w:ascii="Times New Roman" w:hAnsi="Times New Roman" w:eastAsia="仿宋_GB2312" w:cs="仿宋_GB2312"/>
          <w:sz w:val="32"/>
          <w:szCs w:val="32"/>
          <w:u w:val="none" w:color="auto"/>
          <w:lang w:eastAsia="zh-CN"/>
        </w:rPr>
        <w:t>预算管理一体化</w:t>
      </w:r>
      <w:r>
        <w:rPr>
          <w:rFonts w:hint="eastAsia" w:ascii="Times New Roman" w:hAnsi="Times New Roman" w:eastAsia="仿宋_GB2312" w:cs="仿宋_GB2312"/>
          <w:sz w:val="32"/>
          <w:szCs w:val="32"/>
          <w:u w:val="none" w:color="auto"/>
        </w:rPr>
        <w:t>系统中编制部门单位收支</w:t>
      </w:r>
      <w:r>
        <w:rPr>
          <w:rFonts w:hint="eastAsia" w:ascii="Times New Roman" w:hAnsi="Times New Roman" w:eastAsia="仿宋_GB2312" w:cs="仿宋_GB2312"/>
          <w:sz w:val="32"/>
          <w:szCs w:val="32"/>
          <w:u w:val="none" w:color="auto"/>
          <w:lang w:eastAsia="zh-CN"/>
        </w:rPr>
        <w:t>预算</w:t>
      </w:r>
      <w:r>
        <w:rPr>
          <w:rFonts w:hint="eastAsia" w:ascii="Times New Roman" w:hAnsi="Times New Roman" w:eastAsia="仿宋_GB2312" w:cs="仿宋_GB2312"/>
          <w:sz w:val="32"/>
          <w:szCs w:val="32"/>
          <w:u w:val="none" w:color="auto"/>
        </w:rPr>
        <w:t>、政府采购、“三公”经费、预算绩效等内容；</w:t>
      </w:r>
      <w:r>
        <w:rPr>
          <w:rFonts w:hint="eastAsia" w:ascii="Times New Roman" w:hAnsi="Times New Roman" w:eastAsia="仿宋_GB2312" w:cs="仿宋_GB2312"/>
          <w:sz w:val="32"/>
          <w:szCs w:val="32"/>
          <w:u w:val="none" w:color="auto"/>
          <w:lang w:eastAsia="zh-CN"/>
        </w:rPr>
        <w:t>申报</w:t>
      </w:r>
      <w:r>
        <w:rPr>
          <w:rFonts w:hint="eastAsia" w:ascii="Times New Roman" w:hAnsi="Times New Roman" w:eastAsia="仿宋_GB2312" w:cs="仿宋_GB2312"/>
          <w:sz w:val="32"/>
          <w:szCs w:val="32"/>
          <w:u w:val="none" w:color="auto"/>
        </w:rPr>
        <w:t>《</w:t>
      </w:r>
      <w:r>
        <w:rPr>
          <w:rFonts w:hint="eastAsia" w:ascii="Times New Roman" w:hAnsi="Times New Roman" w:eastAsia="仿宋_GB2312" w:cs="仿宋_GB2312"/>
          <w:sz w:val="32"/>
          <w:szCs w:val="32"/>
          <w:u w:val="none" w:color="auto"/>
          <w:lang w:eastAsia="zh-CN"/>
        </w:rPr>
        <w:t>2023年市本级部门预算项目经费申报表</w:t>
      </w:r>
      <w:r>
        <w:rPr>
          <w:rFonts w:hint="eastAsia" w:ascii="Times New Roman" w:hAnsi="Times New Roman" w:eastAsia="仿宋_GB2312" w:cs="仿宋_GB2312"/>
          <w:sz w:val="32"/>
          <w:szCs w:val="32"/>
          <w:u w:val="none" w:color="auto"/>
        </w:rPr>
        <w:t>》，连同编制说明、依据文件</w:t>
      </w:r>
      <w:r>
        <w:rPr>
          <w:rFonts w:hint="eastAsia" w:ascii="Times New Roman" w:hAnsi="Times New Roman" w:eastAsia="仿宋_GB2312" w:cs="仿宋_GB2312"/>
          <w:sz w:val="32"/>
          <w:szCs w:val="32"/>
          <w:u w:val="none" w:color="auto"/>
          <w:lang w:eastAsia="zh-CN"/>
        </w:rPr>
        <w:t>（</w:t>
      </w:r>
      <w:r>
        <w:rPr>
          <w:rFonts w:hint="eastAsia" w:ascii="Times New Roman" w:hAnsi="Times New Roman" w:eastAsia="仿宋_GB2312" w:cs="仿宋_GB2312"/>
          <w:kern w:val="0"/>
          <w:sz w:val="32"/>
          <w:szCs w:val="32"/>
          <w:u w:val="none" w:color="auto"/>
        </w:rPr>
        <w:t>中央、省级有关文件以及市委、市政府文件或会议纪要</w:t>
      </w:r>
      <w:r>
        <w:rPr>
          <w:rFonts w:hint="eastAsia" w:ascii="Times New Roman" w:hAnsi="Times New Roman" w:eastAsia="仿宋_GB2312" w:cs="仿宋_GB2312"/>
          <w:sz w:val="32"/>
          <w:szCs w:val="32"/>
          <w:u w:val="none" w:color="auto"/>
          <w:lang w:eastAsia="zh-CN"/>
        </w:rPr>
        <w:t>）</w:t>
      </w:r>
      <w:r>
        <w:rPr>
          <w:rFonts w:hint="eastAsia" w:ascii="Times New Roman" w:hAnsi="Times New Roman" w:eastAsia="仿宋_GB2312" w:cs="仿宋_GB2312"/>
          <w:sz w:val="32"/>
          <w:szCs w:val="32"/>
          <w:u w:val="none" w:color="auto"/>
        </w:rPr>
        <w:t>等资料于</w:t>
      </w:r>
      <w:r>
        <w:rPr>
          <w:rFonts w:hint="eastAsia" w:ascii="Times New Roman" w:hAnsi="Times New Roman" w:eastAsia="仿宋_GB2312" w:cs="仿宋_GB2312"/>
          <w:sz w:val="32"/>
          <w:szCs w:val="32"/>
          <w:u w:val="none" w:color="auto"/>
          <w:lang w:val="en-US" w:eastAsia="zh-CN"/>
        </w:rPr>
        <w:t>11</w:t>
      </w:r>
      <w:r>
        <w:rPr>
          <w:rFonts w:hint="eastAsia" w:ascii="Times New Roman" w:hAnsi="Times New Roman" w:eastAsia="仿宋_GB2312" w:cs="仿宋_GB2312"/>
          <w:sz w:val="32"/>
          <w:szCs w:val="32"/>
          <w:u w:val="none" w:color="auto"/>
        </w:rPr>
        <w:t>月</w:t>
      </w:r>
      <w:r>
        <w:rPr>
          <w:rFonts w:hint="eastAsia" w:ascii="Times New Roman" w:hAnsi="Times New Roman" w:eastAsia="仿宋_GB2312" w:cs="仿宋_GB2312"/>
          <w:sz w:val="32"/>
          <w:szCs w:val="32"/>
          <w:u w:val="none" w:color="auto"/>
          <w:lang w:val="en-US" w:eastAsia="zh-CN"/>
        </w:rPr>
        <w:t>10</w:t>
      </w:r>
      <w:r>
        <w:rPr>
          <w:rFonts w:hint="eastAsia" w:ascii="Times New Roman" w:hAnsi="Times New Roman" w:eastAsia="仿宋_GB2312" w:cs="仿宋_GB2312"/>
          <w:sz w:val="32"/>
          <w:szCs w:val="32"/>
          <w:u w:val="none" w:color="auto"/>
        </w:rPr>
        <w:t>日前上报市财政局</w:t>
      </w:r>
      <w:r>
        <w:rPr>
          <w:rFonts w:hint="eastAsia" w:ascii="Times New Roman" w:hAnsi="Times New Roman" w:eastAsia="仿宋_GB2312" w:cs="仿宋_GB2312"/>
          <w:sz w:val="32"/>
          <w:szCs w:val="32"/>
          <w:u w:val="none" w:color="auto"/>
          <w:lang w:eastAsia="zh-CN"/>
        </w:rPr>
        <w:t>对口业务</w:t>
      </w:r>
      <w:r>
        <w:rPr>
          <w:rFonts w:hint="eastAsia" w:ascii="Times New Roman" w:hAnsi="Times New Roman" w:eastAsia="仿宋_GB2312" w:cs="仿宋_GB2312"/>
          <w:sz w:val="32"/>
          <w:szCs w:val="32"/>
          <w:u w:val="none" w:color="auto"/>
        </w:rPr>
        <w:t>科室。</w:t>
      </w:r>
      <w:r>
        <w:rPr>
          <w:rFonts w:hint="eastAsia" w:ascii="Times New Roman" w:hAnsi="Times New Roman" w:eastAsia="仿宋_GB2312" w:cs="仿宋_GB2312"/>
          <w:sz w:val="32"/>
          <w:szCs w:val="32"/>
          <w:u w:val="none" w:color="auto"/>
          <w:lang w:val="en-US" w:eastAsia="zh-CN"/>
        </w:rPr>
        <w:t>11月10日前，各部门单位完成基本支出和项目支出的编报工作。“一上”时，非税收入征收计划不在预算管理一体化系统中填报，11月8日前，各部门单位将非税收入征收计划纸质版和电子版直接报送市财政事务中心。</w:t>
      </w:r>
    </w:p>
    <w:p>
      <w:pPr>
        <w:spacing w:line="360" w:lineRule="auto"/>
        <w:ind w:firstLine="643" w:firstLineChars="200"/>
        <w:rPr>
          <w:rFonts w:hint="eastAsia" w:ascii="Times New Roman" w:hAnsi="Times New Roman" w:eastAsia="楷体_GB2312" w:cs="仿宋_GB2312"/>
          <w:b/>
          <w:bCs/>
          <w:sz w:val="32"/>
          <w:szCs w:val="32"/>
          <w:u w:val="none" w:color="auto"/>
        </w:rPr>
      </w:pPr>
      <w:r>
        <w:rPr>
          <w:rFonts w:hint="eastAsia" w:ascii="Times New Roman" w:hAnsi="Times New Roman" w:eastAsia="楷体_GB2312" w:cs="仿宋_GB2312"/>
          <w:b/>
          <w:bCs/>
          <w:sz w:val="32"/>
          <w:szCs w:val="32"/>
          <w:u w:val="none" w:color="auto"/>
        </w:rPr>
        <w:t>（二）“一下”阶段（202</w:t>
      </w:r>
      <w:r>
        <w:rPr>
          <w:rFonts w:hint="eastAsia" w:ascii="Times New Roman" w:hAnsi="Times New Roman" w:eastAsia="楷体_GB2312" w:cs="仿宋_GB2312"/>
          <w:b/>
          <w:bCs/>
          <w:sz w:val="32"/>
          <w:szCs w:val="32"/>
          <w:u w:val="none" w:color="auto"/>
          <w:lang w:val="en-US" w:eastAsia="zh-CN"/>
        </w:rPr>
        <w:t>3</w:t>
      </w:r>
      <w:r>
        <w:rPr>
          <w:rFonts w:hint="eastAsia" w:ascii="Times New Roman" w:hAnsi="Times New Roman" w:eastAsia="楷体_GB2312" w:cs="仿宋_GB2312"/>
          <w:b/>
          <w:bCs/>
          <w:sz w:val="32"/>
          <w:szCs w:val="32"/>
          <w:u w:val="none" w:color="auto"/>
        </w:rPr>
        <w:t>年1</w:t>
      </w:r>
      <w:r>
        <w:rPr>
          <w:rFonts w:hint="eastAsia" w:ascii="Times New Roman" w:hAnsi="Times New Roman" w:eastAsia="楷体_GB2312" w:cs="仿宋_GB2312"/>
          <w:b/>
          <w:bCs/>
          <w:sz w:val="32"/>
          <w:szCs w:val="32"/>
          <w:u w:val="none" w:color="auto"/>
          <w:lang w:val="en-US" w:eastAsia="zh-CN"/>
        </w:rPr>
        <w:t>1</w:t>
      </w:r>
      <w:r>
        <w:rPr>
          <w:rFonts w:hint="eastAsia" w:ascii="Times New Roman" w:hAnsi="Times New Roman" w:eastAsia="楷体_GB2312" w:cs="仿宋_GB2312"/>
          <w:b/>
          <w:bCs/>
          <w:sz w:val="32"/>
          <w:szCs w:val="32"/>
          <w:u w:val="none" w:color="auto"/>
        </w:rPr>
        <w:t>月</w:t>
      </w:r>
      <w:r>
        <w:rPr>
          <w:rFonts w:hint="eastAsia" w:ascii="Times New Roman" w:hAnsi="Times New Roman" w:eastAsia="楷体_GB2312" w:cs="仿宋_GB2312"/>
          <w:b/>
          <w:bCs/>
          <w:sz w:val="32"/>
          <w:szCs w:val="32"/>
          <w:u w:val="none" w:color="auto"/>
          <w:lang w:eastAsia="zh-CN"/>
        </w:rPr>
        <w:t>中</w:t>
      </w:r>
      <w:r>
        <w:rPr>
          <w:rFonts w:hint="eastAsia" w:ascii="Times New Roman" w:hAnsi="Times New Roman" w:eastAsia="楷体_GB2312" w:cs="仿宋_GB2312"/>
          <w:b/>
          <w:bCs/>
          <w:sz w:val="32"/>
          <w:szCs w:val="32"/>
          <w:u w:val="none" w:color="auto"/>
        </w:rPr>
        <w:t>旬）</w:t>
      </w:r>
    </w:p>
    <w:p>
      <w:pPr>
        <w:overflowPunct w:val="0"/>
        <w:spacing w:line="600" w:lineRule="exact"/>
        <w:rPr>
          <w:rFonts w:hint="eastAsia" w:ascii="Times New Roman" w:hAnsi="Times New Roman" w:eastAsia="仿宋_GB2312" w:cs="仿宋_GB2312"/>
          <w:kern w:val="0"/>
          <w:sz w:val="32"/>
          <w:szCs w:val="32"/>
          <w:u w:val="none" w:color="auto"/>
        </w:rPr>
      </w:pPr>
      <w:r>
        <w:rPr>
          <w:rFonts w:hint="eastAsia" w:ascii="Times New Roman" w:hAnsi="Times New Roman" w:eastAsia="仿宋_GB2312" w:cs="仿宋_GB2312"/>
          <w:sz w:val="32"/>
          <w:szCs w:val="32"/>
          <w:u w:val="none" w:color="auto"/>
          <w:lang w:val="en-US" w:eastAsia="zh-CN"/>
        </w:rPr>
        <w:t xml:space="preserve">    11</w:t>
      </w:r>
      <w:r>
        <w:rPr>
          <w:rFonts w:hint="eastAsia" w:ascii="Times New Roman" w:hAnsi="Times New Roman" w:eastAsia="仿宋_GB2312" w:cs="仿宋_GB2312"/>
          <w:sz w:val="32"/>
          <w:szCs w:val="32"/>
          <w:u w:val="none" w:color="auto"/>
        </w:rPr>
        <w:t>月</w:t>
      </w:r>
      <w:r>
        <w:rPr>
          <w:rFonts w:hint="eastAsia" w:ascii="Times New Roman" w:hAnsi="Times New Roman" w:eastAsia="仿宋_GB2312" w:cs="仿宋_GB2312"/>
          <w:sz w:val="32"/>
          <w:szCs w:val="32"/>
          <w:u w:val="none" w:color="auto"/>
          <w:lang w:val="en-US" w:eastAsia="zh-CN"/>
        </w:rPr>
        <w:t>20</w:t>
      </w:r>
      <w:r>
        <w:rPr>
          <w:rFonts w:hint="eastAsia" w:ascii="Times New Roman" w:hAnsi="Times New Roman" w:eastAsia="仿宋_GB2312" w:cs="仿宋_GB2312"/>
          <w:sz w:val="32"/>
          <w:szCs w:val="32"/>
          <w:u w:val="none" w:color="auto"/>
        </w:rPr>
        <w:t>日</w:t>
      </w:r>
      <w:r>
        <w:rPr>
          <w:rFonts w:hint="eastAsia" w:ascii="Times New Roman" w:hAnsi="Times New Roman" w:eastAsia="仿宋_GB2312" w:cs="仿宋_GB2312"/>
          <w:sz w:val="32"/>
          <w:szCs w:val="32"/>
          <w:u w:val="none" w:color="auto"/>
          <w:lang w:eastAsia="zh-CN"/>
        </w:rPr>
        <w:t>前</w:t>
      </w:r>
      <w:r>
        <w:rPr>
          <w:rFonts w:hint="eastAsia" w:ascii="Times New Roman" w:hAnsi="Times New Roman" w:eastAsia="仿宋_GB2312" w:cs="仿宋_GB2312"/>
          <w:kern w:val="0"/>
          <w:sz w:val="32"/>
          <w:szCs w:val="32"/>
          <w:u w:val="none" w:color="auto"/>
        </w:rPr>
        <w:t>财政部门依据财政政策对各预算单位上报的基础信息、预算</w:t>
      </w:r>
      <w:r>
        <w:rPr>
          <w:rFonts w:hint="eastAsia" w:ascii="Times New Roman" w:hAnsi="Times New Roman" w:eastAsia="仿宋_GB2312" w:cs="仿宋_GB2312"/>
          <w:kern w:val="0"/>
          <w:sz w:val="32"/>
          <w:szCs w:val="32"/>
          <w:u w:val="none" w:color="auto"/>
          <w:lang w:eastAsia="zh-CN"/>
        </w:rPr>
        <w:t>数据</w:t>
      </w:r>
      <w:r>
        <w:rPr>
          <w:rFonts w:hint="eastAsia" w:ascii="Times New Roman" w:hAnsi="Times New Roman" w:eastAsia="仿宋_GB2312" w:cs="仿宋_GB2312"/>
          <w:kern w:val="0"/>
          <w:sz w:val="32"/>
          <w:szCs w:val="32"/>
          <w:u w:val="none" w:color="auto"/>
        </w:rPr>
        <w:t>进行初步审核，</w:t>
      </w:r>
      <w:r>
        <w:rPr>
          <w:rFonts w:hint="eastAsia" w:ascii="Times New Roman" w:hAnsi="Times New Roman" w:eastAsia="仿宋_GB2312" w:cs="仿宋_GB2312"/>
          <w:kern w:val="0"/>
          <w:sz w:val="32"/>
          <w:szCs w:val="32"/>
          <w:u w:val="none" w:color="auto"/>
          <w:lang w:eastAsia="zh-CN"/>
        </w:rPr>
        <w:t>对</w:t>
      </w:r>
      <w:r>
        <w:rPr>
          <w:rFonts w:hint="eastAsia" w:ascii="Times New Roman" w:hAnsi="Times New Roman" w:eastAsia="仿宋_GB2312" w:cs="仿宋_GB2312"/>
          <w:sz w:val="32"/>
          <w:szCs w:val="32"/>
          <w:u w:val="none" w:color="auto"/>
          <w:lang w:eastAsia="zh-CN"/>
        </w:rPr>
        <w:t>单位</w:t>
      </w:r>
      <w:r>
        <w:rPr>
          <w:rFonts w:hint="eastAsia" w:ascii="Times New Roman" w:hAnsi="Times New Roman" w:eastAsia="仿宋_GB2312" w:cs="仿宋_GB2312"/>
          <w:sz w:val="32"/>
          <w:szCs w:val="32"/>
          <w:u w:val="none" w:color="auto"/>
        </w:rPr>
        <w:t>项目</w:t>
      </w:r>
      <w:r>
        <w:rPr>
          <w:rFonts w:hint="eastAsia" w:ascii="Times New Roman" w:hAnsi="Times New Roman" w:eastAsia="仿宋_GB2312" w:cs="仿宋_GB2312"/>
          <w:sz w:val="32"/>
          <w:szCs w:val="32"/>
          <w:u w:val="none" w:color="auto"/>
          <w:lang w:eastAsia="zh-CN"/>
        </w:rPr>
        <w:t>进行审核并纳入财政项目库，下阶段各部门</w:t>
      </w:r>
      <w:r>
        <w:rPr>
          <w:rFonts w:hint="eastAsia" w:ascii="Times New Roman" w:hAnsi="Times New Roman" w:eastAsia="仿宋_GB2312" w:cs="仿宋_GB2312"/>
          <w:sz w:val="32"/>
          <w:szCs w:val="32"/>
          <w:u w:val="none" w:color="auto"/>
        </w:rPr>
        <w:t>单位</w:t>
      </w:r>
      <w:r>
        <w:rPr>
          <w:rFonts w:hint="eastAsia" w:ascii="Times New Roman" w:hAnsi="Times New Roman" w:eastAsia="仿宋_GB2312" w:cs="仿宋_GB2312"/>
          <w:sz w:val="32"/>
          <w:szCs w:val="32"/>
          <w:u w:val="none" w:color="auto"/>
          <w:lang w:eastAsia="zh-CN"/>
        </w:rPr>
        <w:t>再从财政项目库</w:t>
      </w:r>
      <w:r>
        <w:rPr>
          <w:rFonts w:hint="eastAsia" w:ascii="Times New Roman" w:hAnsi="Times New Roman" w:eastAsia="仿宋_GB2312" w:cs="仿宋_GB2312"/>
          <w:sz w:val="32"/>
          <w:szCs w:val="32"/>
          <w:u w:val="none" w:color="auto"/>
        </w:rPr>
        <w:t>中选取项目编制单位项目支出预算。</w:t>
      </w:r>
      <w:r>
        <w:rPr>
          <w:rFonts w:hint="eastAsia" w:ascii="Times New Roman" w:hAnsi="Times New Roman" w:eastAsia="仿宋_GB2312" w:cs="仿宋_GB2312"/>
          <w:kern w:val="0"/>
          <w:sz w:val="32"/>
          <w:szCs w:val="32"/>
          <w:u w:val="none" w:color="auto"/>
        </w:rPr>
        <w:t>根据市本级财力情况，经综合平衡后，下达各部门的支出预算控制数</w:t>
      </w:r>
      <w:r>
        <w:rPr>
          <w:rFonts w:hint="eastAsia" w:ascii="Times New Roman" w:hAnsi="Times New Roman" w:eastAsia="仿宋_GB2312" w:cs="仿宋_GB2312"/>
          <w:kern w:val="0"/>
          <w:sz w:val="32"/>
          <w:szCs w:val="32"/>
          <w:u w:val="none" w:color="auto"/>
          <w:lang w:eastAsia="zh-CN"/>
        </w:rPr>
        <w:t>和非税收入征收计划</w:t>
      </w:r>
      <w:r>
        <w:rPr>
          <w:rFonts w:hint="eastAsia" w:ascii="Times New Roman" w:hAnsi="Times New Roman" w:eastAsia="仿宋_GB2312" w:cs="仿宋_GB2312"/>
          <w:kern w:val="0"/>
          <w:sz w:val="32"/>
          <w:szCs w:val="32"/>
          <w:u w:val="none" w:color="auto"/>
        </w:rPr>
        <w:t>。</w:t>
      </w:r>
    </w:p>
    <w:p>
      <w:pPr>
        <w:spacing w:line="360" w:lineRule="auto"/>
        <w:ind w:firstLine="643" w:firstLineChars="200"/>
        <w:rPr>
          <w:rFonts w:hint="eastAsia" w:ascii="Times New Roman" w:hAnsi="Times New Roman" w:eastAsia="楷体_GB2312" w:cs="仿宋_GB2312"/>
          <w:b/>
          <w:bCs/>
          <w:sz w:val="32"/>
          <w:szCs w:val="32"/>
          <w:u w:val="none" w:color="auto"/>
        </w:rPr>
      </w:pPr>
      <w:r>
        <w:rPr>
          <w:rFonts w:hint="eastAsia" w:ascii="Times New Roman" w:hAnsi="Times New Roman" w:eastAsia="楷体_GB2312" w:cs="仿宋_GB2312"/>
          <w:b/>
          <w:bCs/>
          <w:sz w:val="32"/>
          <w:szCs w:val="32"/>
          <w:u w:val="none" w:color="auto"/>
        </w:rPr>
        <w:t>（三）“二上”阶段（202</w:t>
      </w:r>
      <w:r>
        <w:rPr>
          <w:rFonts w:hint="eastAsia" w:ascii="Times New Roman" w:hAnsi="Times New Roman" w:eastAsia="楷体_GB2312" w:cs="仿宋_GB2312"/>
          <w:b/>
          <w:bCs/>
          <w:sz w:val="32"/>
          <w:szCs w:val="32"/>
          <w:u w:val="none" w:color="auto"/>
          <w:lang w:val="en-US" w:eastAsia="zh-CN"/>
        </w:rPr>
        <w:t>3</w:t>
      </w:r>
      <w:r>
        <w:rPr>
          <w:rFonts w:hint="eastAsia" w:ascii="Times New Roman" w:hAnsi="Times New Roman" w:eastAsia="楷体_GB2312" w:cs="仿宋_GB2312"/>
          <w:b/>
          <w:bCs/>
          <w:sz w:val="32"/>
          <w:szCs w:val="32"/>
          <w:u w:val="none" w:color="auto"/>
        </w:rPr>
        <w:t>年1</w:t>
      </w:r>
      <w:r>
        <w:rPr>
          <w:rFonts w:hint="eastAsia" w:ascii="Times New Roman" w:hAnsi="Times New Roman" w:eastAsia="楷体_GB2312" w:cs="仿宋_GB2312"/>
          <w:b/>
          <w:bCs/>
          <w:sz w:val="32"/>
          <w:szCs w:val="32"/>
          <w:u w:val="none" w:color="auto"/>
          <w:lang w:val="en-US" w:eastAsia="zh-CN"/>
        </w:rPr>
        <w:t>1</w:t>
      </w:r>
      <w:r>
        <w:rPr>
          <w:rFonts w:hint="eastAsia" w:ascii="Times New Roman" w:hAnsi="Times New Roman" w:eastAsia="楷体_GB2312" w:cs="仿宋_GB2312"/>
          <w:b/>
          <w:bCs/>
          <w:sz w:val="32"/>
          <w:szCs w:val="32"/>
          <w:u w:val="none" w:color="auto"/>
        </w:rPr>
        <w:t>月</w:t>
      </w:r>
      <w:r>
        <w:rPr>
          <w:rFonts w:hint="eastAsia" w:ascii="Times New Roman" w:hAnsi="Times New Roman" w:eastAsia="楷体_GB2312" w:cs="仿宋_GB2312"/>
          <w:b/>
          <w:bCs/>
          <w:sz w:val="32"/>
          <w:szCs w:val="32"/>
          <w:u w:val="none" w:color="auto"/>
          <w:lang w:eastAsia="zh-CN"/>
        </w:rPr>
        <w:t>下</w:t>
      </w:r>
      <w:r>
        <w:rPr>
          <w:rFonts w:hint="eastAsia" w:ascii="Times New Roman" w:hAnsi="Times New Roman" w:eastAsia="楷体_GB2312" w:cs="仿宋_GB2312"/>
          <w:b/>
          <w:bCs/>
          <w:sz w:val="32"/>
          <w:szCs w:val="32"/>
          <w:u w:val="none" w:color="auto"/>
        </w:rPr>
        <w:t>旬）</w:t>
      </w:r>
    </w:p>
    <w:p>
      <w:pPr>
        <w:spacing w:line="360" w:lineRule="auto"/>
        <w:ind w:firstLine="640" w:firstLineChars="200"/>
        <w:rPr>
          <w:rFonts w:hint="eastAsia" w:ascii="Times New Roman" w:hAnsi="Times New Roman" w:eastAsia="仿宋_GB2312" w:cs="仿宋_GB2312"/>
          <w:kern w:val="0"/>
          <w:sz w:val="32"/>
          <w:szCs w:val="32"/>
          <w:u w:val="none" w:color="auto"/>
        </w:rPr>
      </w:pPr>
      <w:r>
        <w:rPr>
          <w:rFonts w:hint="eastAsia" w:ascii="Times New Roman" w:hAnsi="Times New Roman" w:eastAsia="仿宋_GB2312" w:cs="仿宋_GB2312"/>
          <w:sz w:val="32"/>
          <w:szCs w:val="32"/>
          <w:u w:val="none" w:color="auto"/>
        </w:rPr>
        <w:t>各主管部门根据预算控制数</w:t>
      </w:r>
      <w:r>
        <w:rPr>
          <w:rFonts w:hint="eastAsia" w:ascii="Times New Roman" w:hAnsi="Times New Roman" w:eastAsia="仿宋_GB2312" w:cs="仿宋_GB2312"/>
          <w:kern w:val="0"/>
          <w:sz w:val="32"/>
          <w:szCs w:val="32"/>
          <w:u w:val="none" w:color="auto"/>
        </w:rPr>
        <w:t>对财政下达的人员支出、定额公用支出预算</w:t>
      </w:r>
      <w:r>
        <w:rPr>
          <w:rFonts w:hint="eastAsia" w:ascii="Times New Roman" w:hAnsi="Times New Roman" w:eastAsia="仿宋_GB2312" w:cs="仿宋_GB2312"/>
          <w:kern w:val="0"/>
          <w:sz w:val="32"/>
          <w:szCs w:val="32"/>
          <w:u w:val="none" w:color="auto"/>
          <w:lang w:eastAsia="zh-CN"/>
        </w:rPr>
        <w:t>和非税收入征收计划</w:t>
      </w:r>
      <w:r>
        <w:rPr>
          <w:rFonts w:hint="eastAsia" w:ascii="Times New Roman" w:hAnsi="Times New Roman" w:eastAsia="仿宋_GB2312" w:cs="仿宋_GB2312"/>
          <w:kern w:val="0"/>
          <w:sz w:val="32"/>
          <w:szCs w:val="32"/>
          <w:u w:val="none" w:color="auto"/>
        </w:rPr>
        <w:t>初步审核数进行核对，核实各项收支项目，</w:t>
      </w:r>
      <w:r>
        <w:rPr>
          <w:rFonts w:hint="eastAsia" w:ascii="Times New Roman" w:hAnsi="Times New Roman" w:eastAsia="仿宋_GB2312" w:cs="仿宋_GB2312"/>
          <w:sz w:val="32"/>
          <w:szCs w:val="32"/>
          <w:u w:val="none" w:color="auto"/>
        </w:rPr>
        <w:t>认真编写部门预算编制说明，</w:t>
      </w:r>
      <w:r>
        <w:rPr>
          <w:rFonts w:hint="eastAsia" w:ascii="Times New Roman" w:hAnsi="Times New Roman" w:eastAsia="仿宋_GB2312" w:cs="仿宋_GB2312"/>
          <w:kern w:val="0"/>
          <w:sz w:val="32"/>
          <w:szCs w:val="32"/>
          <w:u w:val="none" w:color="auto"/>
        </w:rPr>
        <w:t>上报部门预算建议草案。</w:t>
      </w:r>
    </w:p>
    <w:p>
      <w:pPr>
        <w:spacing w:line="360" w:lineRule="auto"/>
        <w:ind w:firstLine="619" w:firstLineChars="200"/>
        <w:rPr>
          <w:rFonts w:hint="eastAsia" w:ascii="Times New Roman" w:hAnsi="Times New Roman" w:eastAsia="楷体_GB2312" w:cs="仿宋_GB2312"/>
          <w:b/>
          <w:bCs/>
          <w:spacing w:val="-6"/>
          <w:sz w:val="32"/>
          <w:szCs w:val="32"/>
          <w:u w:val="none" w:color="auto"/>
        </w:rPr>
      </w:pPr>
      <w:r>
        <w:rPr>
          <w:rFonts w:hint="eastAsia" w:ascii="Times New Roman" w:hAnsi="Times New Roman" w:eastAsia="楷体_GB2312" w:cs="仿宋_GB2312"/>
          <w:b/>
          <w:bCs/>
          <w:spacing w:val="-6"/>
          <w:sz w:val="32"/>
          <w:szCs w:val="32"/>
          <w:u w:val="none" w:color="auto"/>
        </w:rPr>
        <w:t>（四）“二下”阶段</w:t>
      </w:r>
      <w:r>
        <w:rPr>
          <w:rFonts w:hint="eastAsia" w:ascii="Times New Roman" w:hAnsi="Times New Roman" w:eastAsia="楷体_GB2312" w:cs="仿宋_GB2312"/>
          <w:b/>
          <w:bCs/>
          <w:spacing w:val="-6"/>
          <w:sz w:val="32"/>
          <w:szCs w:val="32"/>
          <w:u w:val="none" w:color="auto"/>
          <w:lang w:eastAsia="zh-CN"/>
        </w:rPr>
        <w:t>（市</w:t>
      </w:r>
      <w:r>
        <w:rPr>
          <w:rFonts w:hint="default" w:ascii="Times New Roman" w:hAnsi="Times New Roman" w:eastAsia="楷体_GB2312" w:cs="Times New Roman"/>
          <w:b/>
          <w:bCs/>
          <w:spacing w:val="-6"/>
          <w:sz w:val="32"/>
          <w:szCs w:val="32"/>
        </w:rPr>
        <w:t>人代会审查通过预算后20日内</w:t>
      </w:r>
      <w:r>
        <w:rPr>
          <w:rFonts w:hint="eastAsia" w:ascii="Times New Roman" w:hAnsi="Times New Roman" w:eastAsia="楷体_GB2312" w:cs="仿宋_GB2312"/>
          <w:b/>
          <w:bCs/>
          <w:spacing w:val="-6"/>
          <w:sz w:val="32"/>
          <w:szCs w:val="32"/>
          <w:u w:val="none" w:color="auto"/>
          <w:lang w:eastAsia="zh-CN"/>
        </w:rPr>
        <w:t>）</w:t>
      </w:r>
    </w:p>
    <w:p>
      <w:pPr>
        <w:spacing w:line="360" w:lineRule="auto"/>
        <w:ind w:firstLine="640" w:firstLineChars="200"/>
        <w:rPr>
          <w:rFonts w:hint="eastAsia" w:ascii="Times New Roman" w:hAnsi="Times New Roman" w:eastAsia="仿宋_GB2312" w:cs="仿宋_GB2312"/>
          <w:kern w:val="0"/>
          <w:sz w:val="32"/>
          <w:szCs w:val="32"/>
          <w:u w:val="none" w:color="auto"/>
        </w:rPr>
      </w:pPr>
      <w:r>
        <w:rPr>
          <w:rFonts w:hint="eastAsia" w:ascii="Times New Roman" w:hAnsi="Times New Roman" w:eastAsia="仿宋_GB2312" w:cs="仿宋_GB2312"/>
          <w:kern w:val="0"/>
          <w:sz w:val="32"/>
          <w:szCs w:val="32"/>
          <w:u w:val="none" w:color="auto"/>
        </w:rPr>
        <w:t>财政部门将部门预算草案整理汇总并经市人民政府同意后，报市人民代表大会审查；经市人民代表大会批准后，由市财政局在20日内将部门预算统一批复到各预算单位。</w:t>
      </w:r>
    </w:p>
    <w:p>
      <w:pPr>
        <w:numPr>
          <w:ilvl w:val="0"/>
          <w:numId w:val="0"/>
        </w:numPr>
        <w:topLinePunct/>
        <w:rPr>
          <w:rFonts w:hint="eastAsia" w:ascii="Times New Roman" w:hAnsi="Times New Roman" w:eastAsia="仿宋_GB2312" w:cs="仿宋_GB2312"/>
          <w:kern w:val="0"/>
          <w:sz w:val="32"/>
          <w:szCs w:val="32"/>
          <w:u w:val="none" w:color="auto"/>
          <w:lang w:eastAsia="zh-CN"/>
        </w:rPr>
      </w:pPr>
      <w:r>
        <w:rPr>
          <w:rFonts w:hint="eastAsia" w:ascii="Times New Roman" w:hAnsi="Times New Roman" w:eastAsia="仿宋_GB2312" w:cs="仿宋_GB2312"/>
          <w:kern w:val="0"/>
          <w:sz w:val="32"/>
          <w:szCs w:val="32"/>
          <w:u w:val="none" w:color="auto"/>
          <w:lang w:val="en-US" w:eastAsia="zh-CN"/>
        </w:rPr>
        <w:t xml:space="preserve">  </w:t>
      </w:r>
      <w:r>
        <w:rPr>
          <w:rFonts w:hint="eastAsia" w:ascii="Times New Roman" w:hAnsi="Times New Roman" w:eastAsia="楷体_GB2312" w:cs="仿宋_GB2312"/>
          <w:b/>
          <w:bCs/>
          <w:sz w:val="32"/>
          <w:szCs w:val="32"/>
          <w:u w:val="none" w:color="auto"/>
          <w:lang w:val="en-US" w:eastAsia="zh-CN"/>
        </w:rPr>
        <w:t xml:space="preserve">  （五）</w:t>
      </w:r>
      <w:r>
        <w:rPr>
          <w:rFonts w:hint="eastAsia" w:ascii="Times New Roman" w:hAnsi="Times New Roman" w:eastAsia="楷体_GB2312" w:cs="仿宋_GB2312"/>
          <w:b/>
          <w:bCs/>
          <w:sz w:val="32"/>
          <w:szCs w:val="32"/>
          <w:u w:val="none" w:color="auto"/>
          <w:lang w:eastAsia="zh-CN"/>
        </w:rPr>
        <w:t>预算公开</w:t>
      </w:r>
    </w:p>
    <w:p>
      <w:pPr>
        <w:numPr>
          <w:ilvl w:val="0"/>
          <w:numId w:val="0"/>
        </w:numPr>
        <w:topLinePunct/>
        <w:ind w:firstLine="475"/>
        <w:rPr>
          <w:rFonts w:ascii="Times New Roman" w:hAnsi="Times New Roman" w:eastAsia="仿宋_GB2312" w:cs="Times New Roman"/>
          <w:sz w:val="32"/>
          <w:szCs w:val="32"/>
          <w:u w:val="none" w:color="auto"/>
        </w:rPr>
      </w:pPr>
      <w:r>
        <w:rPr>
          <w:rFonts w:hint="eastAsia" w:ascii="Times New Roman" w:hAnsi="Times New Roman" w:eastAsia="仿宋_GB2312" w:cs="仿宋_GB2312"/>
          <w:kern w:val="0"/>
          <w:sz w:val="32"/>
          <w:szCs w:val="32"/>
          <w:u w:val="none" w:color="auto"/>
        </w:rPr>
        <w:t>除涉密信息外，部门单位在接到市财政局批复的预算后20日内按市财政局制定的格式向社会公开</w:t>
      </w:r>
      <w:r>
        <w:rPr>
          <w:rFonts w:hint="eastAsia" w:ascii="Times New Roman" w:hAnsi="Times New Roman" w:eastAsia="仿宋_GB2312" w:cs="仿宋_GB2312"/>
          <w:kern w:val="0"/>
          <w:sz w:val="32"/>
          <w:szCs w:val="32"/>
          <w:u w:val="none" w:color="auto"/>
          <w:lang w:eastAsia="zh-CN"/>
        </w:rPr>
        <w:t>，</w:t>
      </w:r>
      <w:r>
        <w:rPr>
          <w:rFonts w:ascii="Times New Roman" w:hAnsi="Times New Roman" w:eastAsia="仿宋_GB2312" w:cs="Times New Roman"/>
          <w:sz w:val="32"/>
          <w:szCs w:val="32"/>
          <w:u w:val="none" w:color="auto"/>
        </w:rPr>
        <w:t>部门（单位）预算按其支出科目功能分类公开到项，基本支出按其经济分类公开到款。部门会议费、培训费、节庆、晚会、论坛、赛事等预算及执行情况同步公开，并对机关运行经费、政府采购、财政专户、绩效目标等情况作出说明。</w:t>
      </w:r>
    </w:p>
    <w:p>
      <w:pPr>
        <w:rPr>
          <w:rFonts w:hint="eastAsia"/>
          <w:sz w:val="32"/>
          <w:szCs w:val="32"/>
          <w:u w:val="none" w:color="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1NWI0YTEwODJiN2Y5MDM2NjNiM2NhN2I5MDE5NDAifQ=="/>
  </w:docVars>
  <w:rsids>
    <w:rsidRoot w:val="220E588A"/>
    <w:rsid w:val="220E588A"/>
    <w:rsid w:val="48931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able of authorities"/>
    <w:next w:val="1"/>
    <w:unhideWhenUsed/>
    <w:qFormat/>
    <w:uiPriority w:val="99"/>
    <w:pPr>
      <w:widowControl w:val="0"/>
      <w:ind w:left="420" w:leftChars="200"/>
      <w:jc w:val="both"/>
    </w:pPr>
    <w:rPr>
      <w:rFonts w:ascii="Calibri" w:hAnsi="Calibri" w:eastAsia="宋体" w:cs="Times New Roman"/>
      <w:kern w:val="2"/>
      <w:sz w:val="21"/>
      <w:szCs w:val="24"/>
      <w:lang w:val="en-US" w:eastAsia="zh-CN" w:bidi="ar-SA"/>
    </w:rPr>
  </w:style>
  <w:style w:type="paragraph" w:styleId="3">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6764</Words>
  <Characters>6983</Characters>
  <Lines>0</Lines>
  <Paragraphs>0</Paragraphs>
  <TotalTime>4</TotalTime>
  <ScaleCrop>false</ScaleCrop>
  <LinksUpToDate>false</LinksUpToDate>
  <CharactersWithSpaces>7029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2023-12-23T03:33:00Z</dcterms:created>
  <dc:creator>刘艳娜 null</dc:creator>
  <cp:lastModifiedBy>刘艳娜 null</cp:lastModifiedBy>
  <dcterms:modified xsi:type="dcterms:W3CDTF">2023-12-23T07:42:43Z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E6D69888A60A49AB93E970E6CC7CCA2D</vt:lpwstr>
  </property>
</Properties>
</file>